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0DFE4">
      <w:pPr>
        <w:pStyle w:val="5"/>
        <w:jc w:val="center"/>
        <w:rPr>
          <w:rFonts w:hint="eastAsia" w:ascii="方正小标宋简体" w:hAnsi="宋体" w:eastAsia="方正小标宋简体" w:cs="Times New Roman"/>
          <w:color w:val="auto"/>
          <w:kern w:val="2"/>
          <w:sz w:val="44"/>
          <w:szCs w:val="44"/>
          <w:highlight w:val="none"/>
          <w:lang w:val="en-US" w:eastAsia="zh-CN" w:bidi="ar-SA"/>
        </w:rPr>
      </w:pPr>
    </w:p>
    <w:p w14:paraId="7FE67D3A">
      <w:pPr>
        <w:suppressAutoHyphens/>
        <w:bidi w:val="0"/>
        <w:adjustRightInd w:val="0"/>
        <w:snapToGrid w:val="0"/>
        <w:spacing w:line="360" w:lineRule="auto"/>
        <w:jc w:val="center"/>
        <w:outlineLvl w:val="0"/>
        <w:rPr>
          <w:rFonts w:hint="eastAsia" w:ascii="方正小标宋简体" w:hAnsi="方正小标宋简体" w:eastAsia="方正小标宋简体" w:cs="方正小标宋简体"/>
          <w:kern w:val="2"/>
          <w:sz w:val="72"/>
          <w:szCs w:val="72"/>
          <w:lang w:val="en-US" w:eastAsia="zh-CN" w:bidi="ar-SA"/>
        </w:rPr>
      </w:pPr>
      <w:r>
        <w:rPr>
          <w:rFonts w:hint="eastAsia" w:ascii="方正小标宋简体" w:hAnsi="方正小标宋简体" w:eastAsia="方正小标宋简体" w:cs="方正小标宋简体"/>
          <w:kern w:val="2"/>
          <w:sz w:val="72"/>
          <w:szCs w:val="72"/>
          <w:lang w:val="en-US" w:eastAsia="zh-CN" w:bidi="ar-SA"/>
        </w:rPr>
        <w:t>2024年度</w:t>
      </w:r>
    </w:p>
    <w:p w14:paraId="7AEBB8CE">
      <w:pPr>
        <w:suppressAutoHyphens/>
        <w:bidi w:val="0"/>
        <w:adjustRightInd w:val="0"/>
        <w:snapToGrid w:val="0"/>
        <w:spacing w:line="360" w:lineRule="auto"/>
        <w:jc w:val="center"/>
        <w:outlineLvl w:val="0"/>
        <w:rPr>
          <w:rFonts w:hint="eastAsia" w:ascii="方正小标宋简体" w:hAnsi="宋体" w:eastAsia="方正小标宋简体" w:cs="Times New Roman"/>
          <w:color w:val="auto"/>
          <w:kern w:val="2"/>
          <w:sz w:val="72"/>
          <w:szCs w:val="72"/>
          <w:highlight w:val="none"/>
          <w:lang w:val="en-US" w:eastAsia="zh-CN" w:bidi="ar-SA"/>
        </w:rPr>
      </w:pPr>
      <w:r>
        <w:rPr>
          <w:rFonts w:hint="eastAsia" w:ascii="方正小标宋简体" w:hAnsi="方正小标宋简体" w:eastAsia="方正小标宋简体" w:cs="方正小标宋简体"/>
          <w:kern w:val="2"/>
          <w:sz w:val="72"/>
          <w:szCs w:val="72"/>
          <w:lang w:val="en-US" w:eastAsia="zh-CN" w:bidi="ar-SA"/>
        </w:rPr>
        <w:t>阿坝州人大常委会办公室单位决算</w:t>
      </w:r>
    </w:p>
    <w:p w14:paraId="625FDA0E">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6E9EDAB3">
      <w:pPr>
        <w:widowControl/>
        <w:jc w:val="center"/>
        <w:rPr>
          <w:rFonts w:ascii="黑体" w:hAnsi="黑体" w:eastAsia="黑体" w:cs="Times New Roman"/>
          <w:color w:val="auto"/>
          <w:sz w:val="28"/>
          <w:szCs w:val="28"/>
          <w:highlight w:val="none"/>
        </w:rPr>
      </w:pPr>
    </w:p>
    <w:p w14:paraId="1BC2BA99">
      <w:pPr>
        <w:pStyle w:val="10"/>
        <w:rPr>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p w14:paraId="3C4A48E9">
      <w:pPr>
        <w:rPr>
          <w:color w:val="auto"/>
          <w:highlight w:val="none"/>
        </w:rPr>
      </w:pPr>
    </w:p>
    <w:sdt>
      <w:sdtPr>
        <w:rPr>
          <w:rFonts w:ascii="宋体" w:hAnsi="宋体" w:eastAsia="宋体" w:cs="Times New Roman"/>
          <w:color w:val="auto"/>
          <w:kern w:val="2"/>
          <w:sz w:val="21"/>
          <w:szCs w:val="24"/>
          <w:lang w:val="en-US" w:eastAsia="zh-CN" w:bidi="ar-SA"/>
        </w:rPr>
        <w:id w:val="147463795"/>
        <w15:color w:val="DBDBDB"/>
        <w:docPartObj>
          <w:docPartGallery w:val="Table of Contents"/>
          <w:docPartUnique/>
        </w:docPartObj>
      </w:sdtPr>
      <w:sdtEndPr>
        <w:rPr>
          <w:rFonts w:ascii="宋体" w:hAnsi="宋体" w:eastAsia="宋体" w:cs="Times New Roman"/>
          <w:b/>
          <w:color w:val="auto"/>
          <w:kern w:val="2"/>
          <w:sz w:val="21"/>
          <w:szCs w:val="24"/>
          <w:lang w:val="en-US" w:eastAsia="zh-CN" w:bidi="ar-SA"/>
        </w:rPr>
      </w:sdtEndPr>
      <w:sdtContent>
        <w:p w14:paraId="1231EA36">
          <w:pPr>
            <w:spacing w:before="0" w:beforeLines="0" w:after="0" w:afterLines="0" w:line="240" w:lineRule="auto"/>
            <w:ind w:left="0" w:leftChars="0" w:right="0" w:rightChars="0" w:firstLine="0" w:firstLineChars="0"/>
            <w:jc w:val="center"/>
          </w:pPr>
        </w:p>
        <w:p w14:paraId="35B63029">
          <w:pPr>
            <w:pStyle w:val="30"/>
            <w:tabs>
              <w:tab w:val="right" w:leader="dot" w:pos="8306"/>
            </w:tabs>
            <w:rPr>
              <w:rFonts w:hint="eastAsia" w:ascii="仿宋" w:hAnsi="仿宋" w:eastAsia="仿宋" w:cs="仿宋"/>
              <w:b/>
            </w:rPr>
          </w:pPr>
          <w:r>
            <w:fldChar w:fldCharType="begin"/>
          </w:r>
          <w:r>
            <w:instrText xml:space="preserve">TOC \o "1-2" \h \u </w:instrText>
          </w:r>
          <w:r>
            <w:fldChar w:fldCharType="separate"/>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_Toc8407 </w:instrText>
          </w:r>
          <w:r>
            <w:rPr>
              <w:rFonts w:hint="eastAsia" w:ascii="仿宋" w:hAnsi="仿宋" w:eastAsia="仿宋" w:cs="仿宋"/>
              <w:b/>
              <w:sz w:val="24"/>
              <w:szCs w:val="24"/>
            </w:rPr>
            <w:fldChar w:fldCharType="separate"/>
          </w:r>
          <w:r>
            <w:rPr>
              <w:rFonts w:hint="eastAsia" w:ascii="仿宋" w:hAnsi="仿宋" w:eastAsia="仿宋" w:cs="仿宋"/>
              <w:b/>
              <w:sz w:val="24"/>
              <w:szCs w:val="24"/>
            </w:rPr>
            <w:t xml:space="preserve">第一部分 </w:t>
          </w:r>
          <w:r>
            <w:rPr>
              <w:rFonts w:hint="eastAsia" w:ascii="仿宋" w:hAnsi="仿宋" w:eastAsia="仿宋" w:cs="仿宋"/>
              <w:b/>
              <w:sz w:val="24"/>
              <w:szCs w:val="24"/>
              <w:lang w:eastAsia="zh-CN"/>
            </w:rPr>
            <w:t>单位</w:t>
          </w:r>
          <w:r>
            <w:rPr>
              <w:rFonts w:hint="eastAsia" w:ascii="仿宋" w:hAnsi="仿宋" w:eastAsia="仿宋" w:cs="仿宋"/>
              <w:b/>
              <w:sz w:val="24"/>
              <w:szCs w:val="24"/>
            </w:rPr>
            <w:t>概况</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_Toc8407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1</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14:paraId="0EEFA857">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_Toc9445 </w:instrText>
          </w:r>
          <w:r>
            <w:rPr>
              <w:rFonts w:hint="eastAsia" w:ascii="宋体" w:hAnsi="宋体" w:eastAsia="宋体" w:cs="宋体"/>
              <w:sz w:val="24"/>
              <w:szCs w:val="24"/>
            </w:rPr>
            <w:fldChar w:fldCharType="separate"/>
          </w:r>
          <w:r>
            <w:rPr>
              <w:rFonts w:hint="eastAsia" w:ascii="宋体" w:hAnsi="宋体" w:eastAsia="宋体" w:cs="宋体"/>
              <w:sz w:val="24"/>
              <w:szCs w:val="24"/>
            </w:rPr>
            <w:t>一、 主要职责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_Toc9445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A7D3157">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_Toc22094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 机构设置</w:t>
          </w:r>
          <w:r>
            <w:rPr>
              <w:rFonts w:hint="eastAsia" w:ascii="宋体" w:hAnsi="宋体" w:eastAsia="宋体" w:cs="宋体"/>
              <w:sz w:val="24"/>
              <w:szCs w:val="24"/>
            </w:rPr>
            <w:tab/>
          </w:r>
          <w:r>
            <w:rPr>
              <w:rFonts w:hint="eastAsia" w:ascii="宋体" w:hAnsi="宋体" w:cs="宋体"/>
              <w:sz w:val="24"/>
              <w:szCs w:val="24"/>
              <w:lang w:val="en-US" w:eastAsia="zh-CN"/>
            </w:rPr>
            <w:t>4</w:t>
          </w:r>
          <w:r>
            <w:rPr>
              <w:rFonts w:hint="eastAsia" w:ascii="宋体" w:hAnsi="宋体" w:eastAsia="宋体" w:cs="宋体"/>
              <w:sz w:val="24"/>
              <w:szCs w:val="24"/>
            </w:rPr>
            <w:fldChar w:fldCharType="end"/>
          </w:r>
        </w:p>
        <w:p w14:paraId="4C3BCE96">
          <w:pPr>
            <w:pStyle w:val="30"/>
            <w:tabs>
              <w:tab w:val="right" w:leader="dot" w:pos="8306"/>
            </w:tabs>
            <w:rPr>
              <w:rFonts w:hint="eastAsia" w:ascii="仿宋" w:hAnsi="仿宋" w:eastAsia="仿宋" w:cs="仿宋"/>
              <w:b/>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_Toc5452 </w:instrText>
          </w:r>
          <w:r>
            <w:rPr>
              <w:rFonts w:hint="eastAsia" w:ascii="仿宋" w:hAnsi="仿宋" w:eastAsia="仿宋" w:cs="仿宋"/>
              <w:b/>
              <w:sz w:val="24"/>
              <w:szCs w:val="24"/>
            </w:rPr>
            <w:fldChar w:fldCharType="separate"/>
          </w:r>
          <w:r>
            <w:rPr>
              <w:rFonts w:hint="eastAsia" w:ascii="仿宋" w:hAnsi="仿宋" w:eastAsia="仿宋" w:cs="仿宋"/>
              <w:b/>
              <w:sz w:val="24"/>
              <w:szCs w:val="24"/>
            </w:rPr>
            <w:t xml:space="preserve">第二部分 </w:t>
          </w:r>
          <w:r>
            <w:rPr>
              <w:rFonts w:hint="eastAsia" w:ascii="仿宋" w:hAnsi="仿宋" w:eastAsia="仿宋" w:cs="仿宋"/>
              <w:b/>
              <w:sz w:val="24"/>
              <w:szCs w:val="24"/>
              <w:lang w:val="en-US" w:eastAsia="zh-CN"/>
            </w:rPr>
            <w:t>2023年度</w:t>
          </w:r>
          <w:r>
            <w:rPr>
              <w:rFonts w:hint="eastAsia" w:ascii="仿宋" w:hAnsi="仿宋" w:eastAsia="仿宋" w:cs="仿宋"/>
              <w:b/>
              <w:sz w:val="24"/>
              <w:szCs w:val="24"/>
              <w:lang w:eastAsia="zh-CN"/>
            </w:rPr>
            <w:t>单位</w:t>
          </w:r>
          <w:r>
            <w:rPr>
              <w:rFonts w:hint="eastAsia" w:ascii="仿宋" w:hAnsi="仿宋" w:eastAsia="仿宋" w:cs="仿宋"/>
              <w:b/>
              <w:sz w:val="24"/>
              <w:szCs w:val="24"/>
            </w:rPr>
            <w:t>决算情况说明</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_Toc5452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5</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14:paraId="4F39AFF9">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_Toc16833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一、</w:t>
          </w:r>
          <w:r>
            <w:rPr>
              <w:rFonts w:hint="eastAsia" w:ascii="宋体" w:hAnsi="宋体" w:eastAsia="宋体" w:cs="宋体"/>
              <w:sz w:val="24"/>
              <w:szCs w:val="24"/>
            </w:rPr>
            <w:t>收入支出决算总体情况说明</w:t>
          </w:r>
          <w:r>
            <w:rPr>
              <w:rFonts w:hint="eastAsia" w:ascii="宋体" w:hAnsi="宋体" w:eastAsia="宋体" w:cs="宋体"/>
              <w:sz w:val="24"/>
              <w:szCs w:val="24"/>
            </w:rPr>
            <w:tab/>
          </w:r>
          <w:r>
            <w:rPr>
              <w:rFonts w:hint="eastAsia" w:ascii="宋体" w:hAnsi="宋体" w:cs="宋体"/>
              <w:sz w:val="24"/>
              <w:szCs w:val="24"/>
              <w:lang w:val="en-US" w:eastAsia="zh-CN"/>
            </w:rPr>
            <w:t>6</w:t>
          </w:r>
          <w:r>
            <w:rPr>
              <w:rFonts w:hint="eastAsia" w:ascii="宋体" w:hAnsi="宋体" w:eastAsia="宋体" w:cs="宋体"/>
              <w:sz w:val="24"/>
              <w:szCs w:val="24"/>
            </w:rPr>
            <w:fldChar w:fldCharType="end"/>
          </w:r>
        </w:p>
        <w:p w14:paraId="5E8BEE6D">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_Toc15689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二、</w:t>
          </w:r>
          <w:r>
            <w:rPr>
              <w:rFonts w:hint="eastAsia" w:ascii="宋体" w:hAnsi="宋体" w:eastAsia="宋体" w:cs="宋体"/>
              <w:sz w:val="24"/>
              <w:szCs w:val="24"/>
            </w:rPr>
            <w:t>收入决算情况说明</w:t>
          </w:r>
          <w:r>
            <w:rPr>
              <w:rFonts w:hint="eastAsia" w:ascii="宋体" w:hAnsi="宋体" w:eastAsia="宋体" w:cs="宋体"/>
              <w:sz w:val="24"/>
              <w:szCs w:val="24"/>
            </w:rPr>
            <w:tab/>
          </w:r>
          <w:r>
            <w:rPr>
              <w:rFonts w:hint="eastAsia" w:ascii="宋体" w:hAnsi="宋体" w:cs="宋体"/>
              <w:sz w:val="24"/>
              <w:szCs w:val="24"/>
              <w:lang w:val="en-US" w:eastAsia="zh-CN"/>
            </w:rPr>
            <w:t>6</w:t>
          </w:r>
          <w:r>
            <w:rPr>
              <w:rFonts w:hint="eastAsia" w:ascii="宋体" w:hAnsi="宋体" w:eastAsia="宋体" w:cs="宋体"/>
              <w:sz w:val="24"/>
              <w:szCs w:val="24"/>
            </w:rPr>
            <w:fldChar w:fldCharType="end"/>
          </w:r>
        </w:p>
        <w:p w14:paraId="3FF3FB85">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_Toc11402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三、</w:t>
          </w:r>
          <w:r>
            <w:rPr>
              <w:rFonts w:hint="eastAsia" w:ascii="宋体" w:hAnsi="宋体" w:eastAsia="宋体" w:cs="宋体"/>
              <w:sz w:val="24"/>
              <w:szCs w:val="24"/>
            </w:rPr>
            <w:t>支出决算情况说明</w:t>
          </w:r>
          <w:r>
            <w:rPr>
              <w:rFonts w:hint="eastAsia" w:ascii="宋体" w:hAnsi="宋体" w:eastAsia="宋体" w:cs="宋体"/>
              <w:sz w:val="24"/>
              <w:szCs w:val="24"/>
            </w:rPr>
            <w:tab/>
          </w:r>
          <w:r>
            <w:rPr>
              <w:rFonts w:hint="eastAsia" w:ascii="宋体" w:hAnsi="宋体" w:cs="宋体"/>
              <w:sz w:val="24"/>
              <w:szCs w:val="24"/>
              <w:lang w:val="en-US" w:eastAsia="zh-CN"/>
            </w:rPr>
            <w:t>7</w:t>
          </w:r>
          <w:r>
            <w:rPr>
              <w:rFonts w:hint="eastAsia" w:ascii="宋体" w:hAnsi="宋体" w:eastAsia="宋体" w:cs="宋体"/>
              <w:sz w:val="24"/>
              <w:szCs w:val="24"/>
            </w:rPr>
            <w:fldChar w:fldCharType="end"/>
          </w:r>
        </w:p>
        <w:p w14:paraId="0A129ED4">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_Toc30830 </w:instrText>
          </w:r>
          <w:r>
            <w:rPr>
              <w:rFonts w:hint="eastAsia" w:ascii="宋体" w:hAnsi="宋体" w:eastAsia="宋体" w:cs="宋体"/>
              <w:sz w:val="24"/>
              <w:szCs w:val="24"/>
            </w:rPr>
            <w:fldChar w:fldCharType="separate"/>
          </w:r>
          <w:r>
            <w:rPr>
              <w:rFonts w:hint="eastAsia" w:ascii="宋体" w:hAnsi="宋体" w:eastAsia="宋体" w:cs="宋体"/>
              <w:sz w:val="24"/>
              <w:szCs w:val="24"/>
            </w:rPr>
            <w:t>四、财政拨款收入支出决算总体情况说明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_Toc30830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AD3C20B">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_Toc30576 </w:instrText>
          </w:r>
          <w:r>
            <w:rPr>
              <w:rFonts w:hint="eastAsia" w:ascii="宋体" w:hAnsi="宋体" w:eastAsia="宋体" w:cs="宋体"/>
              <w:sz w:val="24"/>
              <w:szCs w:val="24"/>
            </w:rPr>
            <w:fldChar w:fldCharType="separate"/>
          </w:r>
          <w:r>
            <w:rPr>
              <w:rFonts w:hint="eastAsia" w:ascii="宋体" w:hAnsi="宋体" w:eastAsia="宋体" w:cs="宋体"/>
              <w:sz w:val="24"/>
              <w:szCs w:val="24"/>
            </w:rPr>
            <w:t>五、一般公共预算财政拨款支出决算情况说明</w:t>
          </w:r>
          <w:r>
            <w:rPr>
              <w:rFonts w:hint="eastAsia" w:ascii="宋体" w:hAnsi="宋体" w:eastAsia="宋体" w:cs="宋体"/>
              <w:sz w:val="24"/>
              <w:szCs w:val="24"/>
            </w:rPr>
            <w:tab/>
          </w:r>
          <w:r>
            <w:rPr>
              <w:rFonts w:hint="eastAsia" w:ascii="宋体" w:hAnsi="宋体" w:cs="宋体"/>
              <w:sz w:val="24"/>
              <w:szCs w:val="24"/>
              <w:lang w:val="en-US" w:eastAsia="zh-CN"/>
            </w:rPr>
            <w:t>8</w:t>
          </w:r>
          <w:r>
            <w:rPr>
              <w:rFonts w:hint="eastAsia" w:ascii="宋体" w:hAnsi="宋体" w:eastAsia="宋体" w:cs="宋体"/>
              <w:sz w:val="24"/>
              <w:szCs w:val="24"/>
            </w:rPr>
            <w:fldChar w:fldCharType="end"/>
          </w:r>
        </w:p>
        <w:p w14:paraId="3D53876C">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_Toc8101 </w:instrText>
          </w:r>
          <w:r>
            <w:rPr>
              <w:rFonts w:hint="eastAsia" w:ascii="宋体" w:hAnsi="宋体" w:eastAsia="宋体" w:cs="宋体"/>
              <w:sz w:val="24"/>
              <w:szCs w:val="24"/>
            </w:rPr>
            <w:fldChar w:fldCharType="separate"/>
          </w:r>
          <w:r>
            <w:rPr>
              <w:rFonts w:hint="eastAsia" w:ascii="宋体" w:hAnsi="宋体" w:eastAsia="宋体" w:cs="宋体"/>
              <w:sz w:val="24"/>
              <w:szCs w:val="24"/>
            </w:rPr>
            <w:t>六、一般公共预算财政拨款基本支出决算情况说明</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1</w:t>
          </w:r>
        </w:p>
        <w:p w14:paraId="1BD02C46">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_Toc460 </w:instrText>
          </w:r>
          <w:r>
            <w:rPr>
              <w:rFonts w:hint="eastAsia" w:ascii="宋体" w:hAnsi="宋体" w:eastAsia="宋体" w:cs="宋体"/>
              <w:sz w:val="24"/>
              <w:szCs w:val="24"/>
            </w:rPr>
            <w:fldChar w:fldCharType="separate"/>
          </w:r>
          <w:r>
            <w:rPr>
              <w:rFonts w:hint="eastAsia" w:ascii="宋体" w:hAnsi="宋体" w:eastAsia="宋体" w:cs="宋体"/>
              <w:sz w:val="24"/>
              <w:szCs w:val="24"/>
            </w:rPr>
            <w:t>七、财政拨款“三公”经费支出决算情况说明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_Toc460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5818806">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_Toc4306 </w:instrText>
          </w:r>
          <w:r>
            <w:rPr>
              <w:rFonts w:hint="eastAsia" w:ascii="宋体" w:hAnsi="宋体" w:eastAsia="宋体" w:cs="宋体"/>
              <w:sz w:val="24"/>
              <w:szCs w:val="24"/>
            </w:rPr>
            <w:fldChar w:fldCharType="separate"/>
          </w:r>
          <w:r>
            <w:rPr>
              <w:rFonts w:hint="eastAsia" w:ascii="宋体" w:hAnsi="宋体" w:eastAsia="宋体" w:cs="宋体"/>
              <w:sz w:val="24"/>
              <w:szCs w:val="24"/>
            </w:rPr>
            <w:t>八、政府性基金预算支出决算情况说明</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4</w:t>
          </w:r>
        </w:p>
        <w:p w14:paraId="576CDB5E">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_Toc18435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九、</w:t>
          </w:r>
          <w:r>
            <w:rPr>
              <w:rFonts w:hint="eastAsia" w:ascii="宋体" w:hAnsi="宋体" w:eastAsia="宋体" w:cs="宋体"/>
              <w:sz w:val="24"/>
              <w:szCs w:val="24"/>
            </w:rPr>
            <w:t>国有资本经营预算支出决算情况说明</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4</w:t>
          </w:r>
        </w:p>
        <w:p w14:paraId="1DDF7829">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_Toc10134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十、</w:t>
          </w:r>
          <w:r>
            <w:rPr>
              <w:rFonts w:hint="eastAsia" w:ascii="宋体" w:hAnsi="宋体" w:eastAsia="宋体" w:cs="宋体"/>
              <w:sz w:val="24"/>
              <w:szCs w:val="24"/>
            </w:rPr>
            <w:t>其他重要事项的情况说明</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6</w:t>
          </w:r>
        </w:p>
        <w:p w14:paraId="6CE536ED">
          <w:pPr>
            <w:pStyle w:val="30"/>
            <w:tabs>
              <w:tab w:val="right" w:leader="dot" w:pos="8306"/>
            </w:tabs>
            <w:rPr>
              <w:rFonts w:hint="eastAsia" w:ascii="仿宋" w:hAnsi="仿宋" w:eastAsia="仿宋" w:cs="仿宋"/>
              <w:b/>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_Toc9118 </w:instrText>
          </w:r>
          <w:r>
            <w:rPr>
              <w:rFonts w:hint="eastAsia" w:ascii="仿宋" w:hAnsi="仿宋" w:eastAsia="仿宋" w:cs="仿宋"/>
              <w:b/>
              <w:sz w:val="24"/>
              <w:szCs w:val="24"/>
            </w:rPr>
            <w:fldChar w:fldCharType="separate"/>
          </w:r>
          <w:r>
            <w:rPr>
              <w:rFonts w:hint="eastAsia" w:ascii="仿宋" w:hAnsi="仿宋" w:eastAsia="仿宋" w:cs="仿宋"/>
              <w:b/>
              <w:sz w:val="24"/>
              <w:szCs w:val="24"/>
              <w:lang w:eastAsia="zh-CN"/>
            </w:rPr>
            <w:t>第三部分</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名词解释</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_Toc9118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15</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14:paraId="4DA8AF59">
          <w:pPr>
            <w:pStyle w:val="30"/>
            <w:tabs>
              <w:tab w:val="right" w:leader="dot" w:pos="8306"/>
            </w:tabs>
            <w:rPr>
              <w:rFonts w:hint="eastAsia" w:ascii="仿宋" w:hAnsi="仿宋" w:eastAsia="仿宋" w:cs="仿宋"/>
              <w:b/>
              <w:sz w:val="24"/>
              <w:szCs w:val="24"/>
              <w:lang w:val="en-US" w:eastAsia="zh-CN"/>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_Toc4906 </w:instrText>
          </w:r>
          <w:r>
            <w:rPr>
              <w:rFonts w:hint="eastAsia" w:ascii="仿宋" w:hAnsi="仿宋" w:eastAsia="仿宋" w:cs="仿宋"/>
              <w:b/>
              <w:sz w:val="24"/>
              <w:szCs w:val="24"/>
            </w:rPr>
            <w:fldChar w:fldCharType="separate"/>
          </w:r>
          <w:r>
            <w:rPr>
              <w:rFonts w:hint="eastAsia" w:ascii="仿宋" w:hAnsi="仿宋" w:eastAsia="仿宋" w:cs="仿宋"/>
              <w:b/>
              <w:sz w:val="24"/>
              <w:szCs w:val="24"/>
            </w:rPr>
            <w:t>第四部分 附件</w:t>
          </w:r>
          <w:r>
            <w:rPr>
              <w:rFonts w:hint="eastAsia" w:ascii="仿宋" w:hAnsi="仿宋" w:eastAsia="仿宋" w:cs="仿宋"/>
              <w:b/>
              <w:sz w:val="24"/>
              <w:szCs w:val="24"/>
            </w:rPr>
            <w:tab/>
          </w:r>
          <w:r>
            <w:rPr>
              <w:rFonts w:hint="eastAsia" w:ascii="仿宋" w:hAnsi="仿宋" w:eastAsia="仿宋" w:cs="仿宋"/>
              <w:b/>
              <w:sz w:val="24"/>
              <w:szCs w:val="24"/>
              <w:lang w:val="en-US" w:eastAsia="zh-CN"/>
            </w:rPr>
            <w:t>2</w:t>
          </w:r>
          <w:r>
            <w:rPr>
              <w:rFonts w:hint="eastAsia" w:ascii="仿宋" w:hAnsi="仿宋" w:eastAsia="仿宋" w:cs="仿宋"/>
              <w:b/>
              <w:sz w:val="24"/>
              <w:szCs w:val="24"/>
            </w:rPr>
            <w:fldChar w:fldCharType="end"/>
          </w:r>
          <w:r>
            <w:rPr>
              <w:rFonts w:hint="eastAsia" w:ascii="仿宋" w:hAnsi="仿宋" w:eastAsia="仿宋" w:cs="仿宋"/>
              <w:b/>
              <w:sz w:val="24"/>
              <w:szCs w:val="24"/>
              <w:lang w:val="en-US" w:eastAsia="zh-CN"/>
            </w:rPr>
            <w:t>0</w:t>
          </w:r>
        </w:p>
        <w:p w14:paraId="6426767E">
          <w:pPr>
            <w:pStyle w:val="30"/>
            <w:tabs>
              <w:tab w:val="right" w:leader="dot" w:pos="8306"/>
            </w:tabs>
            <w:rPr>
              <w:rFonts w:hint="default" w:ascii="仿宋" w:hAnsi="仿宋" w:eastAsia="仿宋" w:cs="仿宋"/>
              <w:b/>
              <w:sz w:val="24"/>
              <w:szCs w:val="24"/>
              <w:lang w:val="en-US" w:eastAsia="zh-CN"/>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_Toc1184 </w:instrText>
          </w:r>
          <w:r>
            <w:rPr>
              <w:rFonts w:hint="eastAsia" w:ascii="仿宋" w:hAnsi="仿宋" w:eastAsia="仿宋" w:cs="仿宋"/>
              <w:b/>
              <w:sz w:val="24"/>
              <w:szCs w:val="24"/>
            </w:rPr>
            <w:fldChar w:fldCharType="separate"/>
          </w:r>
          <w:r>
            <w:rPr>
              <w:rFonts w:hint="eastAsia" w:ascii="仿宋" w:hAnsi="仿宋" w:eastAsia="仿宋" w:cs="仿宋"/>
              <w:b/>
              <w:sz w:val="24"/>
              <w:szCs w:val="24"/>
            </w:rPr>
            <w:t>第五部分 附表</w:t>
          </w:r>
          <w:r>
            <w:rPr>
              <w:rFonts w:hint="eastAsia" w:ascii="仿宋" w:hAnsi="仿宋" w:eastAsia="仿宋" w:cs="仿宋"/>
              <w:b/>
              <w:sz w:val="24"/>
              <w:szCs w:val="24"/>
            </w:rPr>
            <w:tab/>
          </w:r>
          <w:r>
            <w:rPr>
              <w:rFonts w:hint="eastAsia" w:ascii="仿宋" w:hAnsi="仿宋" w:eastAsia="仿宋" w:cs="仿宋"/>
              <w:b/>
              <w:sz w:val="24"/>
              <w:szCs w:val="24"/>
            </w:rPr>
            <w:fldChar w:fldCharType="end"/>
          </w:r>
          <w:r>
            <w:rPr>
              <w:rFonts w:hint="eastAsia" w:ascii="仿宋" w:hAnsi="仿宋" w:eastAsia="仿宋" w:cs="仿宋"/>
              <w:b/>
              <w:sz w:val="24"/>
              <w:szCs w:val="24"/>
              <w:lang w:val="en-US" w:eastAsia="zh-CN"/>
            </w:rPr>
            <w:t>53</w:t>
          </w:r>
        </w:p>
        <w:p w14:paraId="2464AB53">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_Toc14366 </w:instrText>
          </w:r>
          <w:r>
            <w:rPr>
              <w:rFonts w:hint="eastAsia" w:ascii="宋体" w:hAnsi="宋体" w:eastAsia="宋体" w:cs="宋体"/>
              <w:sz w:val="24"/>
              <w:szCs w:val="24"/>
            </w:rPr>
            <w:fldChar w:fldCharType="separate"/>
          </w:r>
          <w:r>
            <w:rPr>
              <w:rFonts w:hint="eastAsia" w:ascii="宋体" w:hAnsi="宋体" w:eastAsia="宋体" w:cs="宋体"/>
              <w:sz w:val="24"/>
              <w:szCs w:val="24"/>
            </w:rPr>
            <w:t>一、收入支出决算总表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53</w:t>
          </w:r>
        </w:p>
        <w:p w14:paraId="202FC373">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_Toc12596 </w:instrText>
          </w:r>
          <w:r>
            <w:rPr>
              <w:rFonts w:hint="eastAsia" w:ascii="宋体" w:hAnsi="宋体" w:eastAsia="宋体" w:cs="宋体"/>
              <w:sz w:val="24"/>
              <w:szCs w:val="24"/>
            </w:rPr>
            <w:fldChar w:fldCharType="separate"/>
          </w:r>
          <w:r>
            <w:rPr>
              <w:rFonts w:hint="eastAsia" w:ascii="宋体" w:hAnsi="宋体" w:eastAsia="宋体" w:cs="宋体"/>
              <w:sz w:val="24"/>
              <w:szCs w:val="24"/>
            </w:rPr>
            <w:t>二、收入决算表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53</w:t>
          </w:r>
        </w:p>
        <w:p w14:paraId="31D9463A">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_Toc17266 </w:instrText>
          </w:r>
          <w:r>
            <w:rPr>
              <w:rFonts w:hint="eastAsia" w:ascii="宋体" w:hAnsi="宋体" w:eastAsia="宋体" w:cs="宋体"/>
              <w:sz w:val="24"/>
              <w:szCs w:val="24"/>
            </w:rPr>
            <w:fldChar w:fldCharType="separate"/>
          </w:r>
          <w:r>
            <w:rPr>
              <w:rFonts w:hint="eastAsia" w:ascii="宋体" w:hAnsi="宋体" w:eastAsia="宋体" w:cs="宋体"/>
              <w:sz w:val="24"/>
              <w:szCs w:val="24"/>
            </w:rPr>
            <w:t>三、支出决算表</w:t>
          </w:r>
          <w:r>
            <w:rPr>
              <w:rFonts w:hint="eastAsia" w:ascii="宋体" w:hAnsi="宋体" w:eastAsia="宋体" w:cs="宋体"/>
              <w:sz w:val="24"/>
              <w:szCs w:val="24"/>
            </w:rPr>
            <w:tab/>
          </w:r>
          <w:r>
            <w:rPr>
              <w:rFonts w:hint="eastAsia" w:ascii="宋体" w:hAnsi="宋体" w:cs="宋体"/>
              <w:sz w:val="24"/>
              <w:szCs w:val="24"/>
              <w:lang w:val="en-US" w:eastAsia="zh-CN"/>
            </w:rPr>
            <w:t>5</w:t>
          </w:r>
          <w:r>
            <w:rPr>
              <w:rFonts w:hint="eastAsia" w:ascii="宋体" w:hAnsi="宋体" w:eastAsia="宋体" w:cs="宋体"/>
              <w:sz w:val="24"/>
              <w:szCs w:val="24"/>
            </w:rPr>
            <w:fldChar w:fldCharType="end"/>
          </w:r>
          <w:r>
            <w:rPr>
              <w:rFonts w:hint="eastAsia" w:ascii="宋体" w:hAnsi="宋体" w:cs="宋体"/>
              <w:sz w:val="24"/>
              <w:szCs w:val="24"/>
              <w:lang w:val="en-US" w:eastAsia="zh-CN"/>
            </w:rPr>
            <w:t>3</w:t>
          </w:r>
        </w:p>
        <w:p w14:paraId="40907D2C">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_Toc11179 </w:instrText>
          </w:r>
          <w:r>
            <w:rPr>
              <w:rFonts w:hint="eastAsia" w:ascii="宋体" w:hAnsi="宋体" w:eastAsia="宋体" w:cs="宋体"/>
              <w:sz w:val="24"/>
              <w:szCs w:val="24"/>
            </w:rPr>
            <w:fldChar w:fldCharType="separate"/>
          </w:r>
          <w:r>
            <w:rPr>
              <w:rFonts w:hint="eastAsia" w:ascii="宋体" w:hAnsi="宋体" w:eastAsia="宋体" w:cs="宋体"/>
              <w:sz w:val="24"/>
              <w:szCs w:val="24"/>
            </w:rPr>
            <w:t>四、财政拨款收入支出决算总表</w:t>
          </w:r>
          <w:r>
            <w:rPr>
              <w:rFonts w:hint="eastAsia" w:ascii="宋体" w:hAnsi="宋体" w:eastAsia="宋体" w:cs="宋体"/>
              <w:sz w:val="24"/>
              <w:szCs w:val="24"/>
            </w:rPr>
            <w:tab/>
          </w:r>
          <w:r>
            <w:rPr>
              <w:rFonts w:hint="eastAsia" w:ascii="宋体" w:hAnsi="宋体" w:cs="宋体"/>
              <w:sz w:val="24"/>
              <w:szCs w:val="24"/>
              <w:lang w:val="en-US" w:eastAsia="zh-CN"/>
            </w:rPr>
            <w:t>5</w:t>
          </w:r>
          <w:r>
            <w:rPr>
              <w:rFonts w:hint="eastAsia" w:ascii="宋体" w:hAnsi="宋体" w:eastAsia="宋体" w:cs="宋体"/>
              <w:sz w:val="24"/>
              <w:szCs w:val="24"/>
            </w:rPr>
            <w:fldChar w:fldCharType="end"/>
          </w:r>
          <w:r>
            <w:rPr>
              <w:rFonts w:hint="eastAsia" w:ascii="宋体" w:hAnsi="宋体" w:cs="宋体"/>
              <w:sz w:val="24"/>
              <w:szCs w:val="24"/>
              <w:lang w:val="en-US" w:eastAsia="zh-CN"/>
            </w:rPr>
            <w:t>3</w:t>
          </w:r>
        </w:p>
        <w:p w14:paraId="624A595B">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_Toc4056 </w:instrText>
          </w:r>
          <w:r>
            <w:rPr>
              <w:rFonts w:hint="eastAsia" w:ascii="宋体" w:hAnsi="宋体" w:eastAsia="宋体" w:cs="宋体"/>
              <w:sz w:val="24"/>
              <w:szCs w:val="24"/>
            </w:rPr>
            <w:fldChar w:fldCharType="separate"/>
          </w:r>
          <w:r>
            <w:rPr>
              <w:rFonts w:hint="eastAsia" w:ascii="宋体" w:hAnsi="宋体" w:eastAsia="宋体" w:cs="宋体"/>
              <w:sz w:val="24"/>
              <w:szCs w:val="24"/>
            </w:rPr>
            <w:t>五、财政拨款支出决算明细表</w:t>
          </w:r>
          <w:r>
            <w:rPr>
              <w:rFonts w:hint="eastAsia" w:ascii="宋体" w:hAnsi="宋体" w:eastAsia="宋体" w:cs="宋体"/>
              <w:sz w:val="24"/>
              <w:szCs w:val="24"/>
            </w:rPr>
            <w:tab/>
          </w:r>
          <w:r>
            <w:rPr>
              <w:rFonts w:hint="eastAsia" w:ascii="宋体" w:hAnsi="宋体" w:cs="宋体"/>
              <w:sz w:val="24"/>
              <w:szCs w:val="24"/>
              <w:lang w:val="en-US" w:eastAsia="zh-CN"/>
            </w:rPr>
            <w:t>5</w:t>
          </w:r>
          <w:r>
            <w:rPr>
              <w:rFonts w:hint="eastAsia" w:ascii="宋体" w:hAnsi="宋体" w:eastAsia="宋体" w:cs="宋体"/>
              <w:sz w:val="24"/>
              <w:szCs w:val="24"/>
            </w:rPr>
            <w:fldChar w:fldCharType="end"/>
          </w:r>
          <w:r>
            <w:rPr>
              <w:rFonts w:hint="eastAsia" w:ascii="宋体" w:hAnsi="宋体" w:cs="宋体"/>
              <w:sz w:val="24"/>
              <w:szCs w:val="24"/>
              <w:lang w:val="en-US" w:eastAsia="zh-CN"/>
            </w:rPr>
            <w:t>3</w:t>
          </w:r>
        </w:p>
        <w:p w14:paraId="1726543E">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_Toc24505 </w:instrText>
          </w:r>
          <w:r>
            <w:rPr>
              <w:rFonts w:hint="eastAsia" w:ascii="宋体" w:hAnsi="宋体" w:eastAsia="宋体" w:cs="宋体"/>
              <w:sz w:val="24"/>
              <w:szCs w:val="24"/>
            </w:rPr>
            <w:fldChar w:fldCharType="separate"/>
          </w:r>
          <w:r>
            <w:rPr>
              <w:rFonts w:hint="eastAsia" w:ascii="宋体" w:hAnsi="宋体" w:eastAsia="宋体" w:cs="宋体"/>
              <w:sz w:val="24"/>
              <w:szCs w:val="24"/>
            </w:rPr>
            <w:t>六、一般公共预算财政拨款支出决算表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53</w:t>
          </w:r>
        </w:p>
        <w:p w14:paraId="38490700">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_Toc16910 </w:instrText>
          </w:r>
          <w:r>
            <w:rPr>
              <w:rFonts w:hint="eastAsia" w:ascii="宋体" w:hAnsi="宋体" w:eastAsia="宋体" w:cs="宋体"/>
              <w:sz w:val="24"/>
              <w:szCs w:val="24"/>
            </w:rPr>
            <w:fldChar w:fldCharType="separate"/>
          </w:r>
          <w:r>
            <w:rPr>
              <w:rFonts w:hint="eastAsia" w:ascii="宋体" w:hAnsi="宋体" w:eastAsia="宋体" w:cs="宋体"/>
              <w:sz w:val="24"/>
              <w:szCs w:val="24"/>
            </w:rPr>
            <w:t>七、一般公共预算财政拨款支出决算明细表</w:t>
          </w:r>
          <w:r>
            <w:rPr>
              <w:rFonts w:hint="eastAsia" w:ascii="宋体" w:hAnsi="宋体" w:eastAsia="宋体" w:cs="宋体"/>
              <w:sz w:val="24"/>
              <w:szCs w:val="24"/>
            </w:rPr>
            <w:tab/>
          </w:r>
          <w:r>
            <w:rPr>
              <w:rFonts w:hint="eastAsia" w:ascii="宋体" w:hAnsi="宋体" w:cs="宋体"/>
              <w:sz w:val="24"/>
              <w:szCs w:val="24"/>
              <w:lang w:val="en-US" w:eastAsia="zh-CN"/>
            </w:rPr>
            <w:t>5</w:t>
          </w:r>
          <w:r>
            <w:rPr>
              <w:rFonts w:hint="eastAsia" w:ascii="宋体" w:hAnsi="宋体" w:eastAsia="宋体" w:cs="宋体"/>
              <w:sz w:val="24"/>
              <w:szCs w:val="24"/>
            </w:rPr>
            <w:fldChar w:fldCharType="end"/>
          </w:r>
          <w:r>
            <w:rPr>
              <w:rFonts w:hint="eastAsia" w:ascii="宋体" w:hAnsi="宋体" w:cs="宋体"/>
              <w:sz w:val="24"/>
              <w:szCs w:val="24"/>
              <w:lang w:val="en-US" w:eastAsia="zh-CN"/>
            </w:rPr>
            <w:t>3</w:t>
          </w:r>
        </w:p>
        <w:p w14:paraId="74A26A21">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_Toc3992 </w:instrText>
          </w:r>
          <w:r>
            <w:rPr>
              <w:rFonts w:hint="eastAsia" w:ascii="宋体" w:hAnsi="宋体" w:eastAsia="宋体" w:cs="宋体"/>
              <w:sz w:val="24"/>
              <w:szCs w:val="24"/>
            </w:rPr>
            <w:fldChar w:fldCharType="separate"/>
          </w:r>
          <w:r>
            <w:rPr>
              <w:rFonts w:hint="eastAsia" w:ascii="宋体" w:hAnsi="宋体" w:eastAsia="宋体" w:cs="宋体"/>
              <w:sz w:val="24"/>
              <w:szCs w:val="24"/>
            </w:rPr>
            <w:t>八、一般公共预算财政拨款基本支出决算表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53</w:t>
          </w:r>
        </w:p>
        <w:p w14:paraId="690EAB54">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_Toc18960 </w:instrText>
          </w:r>
          <w:r>
            <w:rPr>
              <w:rFonts w:hint="eastAsia" w:ascii="宋体" w:hAnsi="宋体" w:eastAsia="宋体" w:cs="宋体"/>
              <w:sz w:val="24"/>
              <w:szCs w:val="24"/>
            </w:rPr>
            <w:fldChar w:fldCharType="separate"/>
          </w:r>
          <w:r>
            <w:rPr>
              <w:rFonts w:hint="eastAsia" w:ascii="宋体" w:hAnsi="宋体" w:eastAsia="宋体" w:cs="宋体"/>
              <w:sz w:val="24"/>
              <w:szCs w:val="24"/>
            </w:rPr>
            <w:t>九、一般公共预算财政拨款项目支出决算表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53</w:t>
          </w:r>
        </w:p>
        <w:p w14:paraId="7BF033C0">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_Toc28498 </w:instrText>
          </w:r>
          <w:r>
            <w:rPr>
              <w:rFonts w:hint="eastAsia" w:ascii="宋体" w:hAnsi="宋体" w:eastAsia="宋体" w:cs="宋体"/>
              <w:sz w:val="24"/>
              <w:szCs w:val="24"/>
            </w:rPr>
            <w:fldChar w:fldCharType="separate"/>
          </w:r>
          <w:r>
            <w:rPr>
              <w:rFonts w:hint="eastAsia" w:ascii="宋体" w:hAnsi="宋体" w:eastAsia="宋体" w:cs="宋体"/>
              <w:sz w:val="24"/>
              <w:szCs w:val="24"/>
            </w:rPr>
            <w:t>十、政府性基金预算财政拨款收入支出决算表</w:t>
          </w:r>
          <w:r>
            <w:rPr>
              <w:rFonts w:hint="eastAsia" w:ascii="宋体" w:hAnsi="宋体" w:eastAsia="宋体" w:cs="宋体"/>
              <w:sz w:val="24"/>
              <w:szCs w:val="24"/>
            </w:rPr>
            <w:tab/>
          </w:r>
          <w:r>
            <w:rPr>
              <w:rFonts w:hint="eastAsia" w:ascii="宋体" w:hAnsi="宋体" w:cs="宋体"/>
              <w:sz w:val="24"/>
              <w:szCs w:val="24"/>
              <w:lang w:val="en-US" w:eastAsia="zh-CN"/>
            </w:rPr>
            <w:t>5</w:t>
          </w:r>
          <w:r>
            <w:rPr>
              <w:rFonts w:hint="eastAsia" w:ascii="宋体" w:hAnsi="宋体" w:eastAsia="宋体" w:cs="宋体"/>
              <w:sz w:val="24"/>
              <w:szCs w:val="24"/>
            </w:rPr>
            <w:fldChar w:fldCharType="end"/>
          </w:r>
          <w:r>
            <w:rPr>
              <w:rFonts w:hint="eastAsia" w:ascii="宋体" w:hAnsi="宋体" w:cs="宋体"/>
              <w:sz w:val="24"/>
              <w:szCs w:val="24"/>
              <w:lang w:val="en-US" w:eastAsia="zh-CN"/>
            </w:rPr>
            <w:t>3</w:t>
          </w:r>
        </w:p>
        <w:p w14:paraId="26C48DDE">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_Toc1978 </w:instrText>
          </w:r>
          <w:r>
            <w:rPr>
              <w:rFonts w:hint="eastAsia" w:ascii="宋体" w:hAnsi="宋体" w:eastAsia="宋体" w:cs="宋体"/>
              <w:sz w:val="24"/>
              <w:szCs w:val="24"/>
            </w:rPr>
            <w:fldChar w:fldCharType="separate"/>
          </w:r>
          <w:r>
            <w:rPr>
              <w:rFonts w:hint="eastAsia" w:ascii="宋体" w:hAnsi="宋体" w:eastAsia="宋体" w:cs="宋体"/>
              <w:sz w:val="24"/>
              <w:szCs w:val="24"/>
            </w:rPr>
            <w:t>十一、国有资本经营预算</w:t>
          </w:r>
          <w:r>
            <w:rPr>
              <w:rFonts w:hint="eastAsia" w:ascii="宋体" w:hAnsi="宋体" w:eastAsia="宋体" w:cs="宋体"/>
              <w:sz w:val="24"/>
              <w:szCs w:val="24"/>
              <w:lang w:eastAsia="zh-CN"/>
            </w:rPr>
            <w:t>财政拨款收入</w:t>
          </w:r>
          <w:r>
            <w:rPr>
              <w:rFonts w:hint="eastAsia" w:ascii="宋体" w:hAnsi="宋体" w:eastAsia="宋体" w:cs="宋体"/>
              <w:sz w:val="24"/>
              <w:szCs w:val="24"/>
            </w:rPr>
            <w:t>支出决算表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53</w:t>
          </w:r>
        </w:p>
        <w:p w14:paraId="63AF2C6B">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_Toc21356 </w:instrText>
          </w:r>
          <w:r>
            <w:rPr>
              <w:rFonts w:hint="eastAsia" w:ascii="宋体" w:hAnsi="宋体" w:eastAsia="宋体" w:cs="宋体"/>
              <w:sz w:val="24"/>
              <w:szCs w:val="24"/>
            </w:rPr>
            <w:fldChar w:fldCharType="separate"/>
          </w:r>
          <w:r>
            <w:rPr>
              <w:rFonts w:hint="eastAsia" w:ascii="宋体" w:hAnsi="宋体" w:eastAsia="宋体" w:cs="宋体"/>
              <w:sz w:val="24"/>
              <w:szCs w:val="24"/>
            </w:rPr>
            <w:t>十二、</w:t>
          </w:r>
          <w:r>
            <w:rPr>
              <w:rFonts w:hint="eastAsia" w:ascii="宋体" w:hAnsi="宋体" w:eastAsia="宋体" w:cs="宋体"/>
              <w:sz w:val="24"/>
              <w:szCs w:val="24"/>
              <w:lang w:eastAsia="zh-CN"/>
            </w:rPr>
            <w:t>国有资本经营预算财政拨款支出决算表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53</w:t>
          </w:r>
        </w:p>
        <w:p w14:paraId="45CF901E">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_Toc26951 </w:instrText>
          </w:r>
          <w:r>
            <w:rPr>
              <w:rFonts w:hint="eastAsia" w:ascii="宋体" w:hAnsi="宋体" w:eastAsia="宋体" w:cs="宋体"/>
              <w:sz w:val="24"/>
              <w:szCs w:val="24"/>
            </w:rPr>
            <w:fldChar w:fldCharType="separate"/>
          </w:r>
          <w:r>
            <w:rPr>
              <w:rFonts w:hint="eastAsia" w:ascii="宋体" w:hAnsi="宋体" w:eastAsia="宋体" w:cs="宋体"/>
              <w:sz w:val="24"/>
              <w:szCs w:val="24"/>
            </w:rPr>
            <w:t>十三、</w:t>
          </w:r>
          <w:r>
            <w:rPr>
              <w:rFonts w:hint="eastAsia" w:ascii="宋体" w:hAnsi="宋体" w:eastAsia="宋体" w:cs="宋体"/>
              <w:sz w:val="24"/>
              <w:szCs w:val="24"/>
              <w:lang w:eastAsia="zh-CN"/>
            </w:rPr>
            <w:t>财政拨款“三公”经费支出决算表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53</w:t>
          </w:r>
        </w:p>
        <w:p w14:paraId="47CAB830">
          <w:pPr>
            <w:rPr>
              <w:b/>
            </w:rPr>
          </w:pPr>
          <w:r>
            <w:rPr>
              <w:b/>
            </w:rPr>
            <w:fldChar w:fldCharType="end"/>
          </w:r>
        </w:p>
      </w:sdtContent>
    </w:sdt>
    <w:p w14:paraId="41CC7496">
      <w:pPr>
        <w:rPr>
          <w:b/>
        </w:rPr>
      </w:pPr>
    </w:p>
    <w:p w14:paraId="470A8326">
      <w:pPr>
        <w:pStyle w:val="2"/>
        <w:jc w:val="center"/>
        <w:rPr>
          <w:rFonts w:hint="eastAsia" w:ascii="黑体" w:hAnsi="黑体" w:eastAsia="黑体"/>
          <w:b w:val="0"/>
          <w:color w:val="auto"/>
          <w:highlight w:val="none"/>
        </w:rPr>
        <w:sectPr>
          <w:footerReference r:id="rId3" w:type="default"/>
          <w:pgSz w:w="11906" w:h="16838"/>
          <w:pgMar w:top="1440" w:right="1800" w:bottom="1440" w:left="1800" w:header="720" w:footer="720" w:gutter="0"/>
          <w:pgNumType w:fmt="decimal"/>
          <w:cols w:space="720" w:num="1"/>
          <w:docGrid w:type="lines" w:linePitch="312" w:charSpace="0"/>
        </w:sectPr>
      </w:pPr>
      <w:bookmarkStart w:id="0" w:name="_Toc8407"/>
    </w:p>
    <w:p w14:paraId="0011A3F0">
      <w:pPr>
        <w:pStyle w:val="2"/>
        <w:jc w:val="center"/>
        <w:rPr>
          <w:rStyle w:val="20"/>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0"/>
          <w:rFonts w:hint="eastAsia" w:ascii="黑体" w:hAnsi="黑体" w:eastAsia="黑体"/>
          <w:b w:val="0"/>
          <w:bCs w:val="0"/>
          <w:color w:val="auto"/>
          <w:highlight w:val="none"/>
        </w:rPr>
        <w:t>概况</w:t>
      </w:r>
      <w:bookmarkEnd w:id="0"/>
    </w:p>
    <w:p w14:paraId="6146EF39">
      <w:pPr>
        <w:pageBreakBefore w:val="0"/>
        <w:widowControl/>
        <w:kinsoku/>
        <w:wordWrap/>
        <w:overflowPunct/>
        <w:topLinePunct w:val="0"/>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rPr>
      </w:pPr>
    </w:p>
    <w:p w14:paraId="26B4DAB2">
      <w:pPr>
        <w:pStyle w:val="3"/>
        <w:numPr>
          <w:ilvl w:val="0"/>
          <w:numId w:val="1"/>
        </w:numPr>
        <w:rPr>
          <w:rStyle w:val="29"/>
          <w:rFonts w:ascii="黑体" w:hAnsi="黑体" w:eastAsia="黑体"/>
          <w:b w:val="0"/>
          <w:bCs w:val="0"/>
        </w:rPr>
      </w:pPr>
      <w:bookmarkStart w:id="1" w:name="_Toc9445"/>
      <w:bookmarkStart w:id="2" w:name="_Toc9728"/>
      <w:r>
        <w:rPr>
          <w:rStyle w:val="29"/>
          <w:rFonts w:hint="eastAsia" w:ascii="黑体" w:hAnsi="黑体" w:eastAsia="黑体"/>
          <w:b w:val="0"/>
          <w:bCs w:val="0"/>
        </w:rPr>
        <w:t>主要职责</w:t>
      </w:r>
      <w:bookmarkEnd w:id="1"/>
      <w:bookmarkEnd w:id="2"/>
    </w:p>
    <w:p w14:paraId="76E0B682">
      <w:pPr>
        <w:rPr>
          <w:rFonts w:hint="default" w:eastAsia="黑体"/>
          <w:lang w:val="en-US" w:eastAsia="zh-CN"/>
        </w:rPr>
      </w:pPr>
      <w:bookmarkStart w:id="3" w:name="_Toc24857"/>
      <w:r>
        <w:rPr>
          <w:rStyle w:val="29"/>
          <w:rFonts w:hint="eastAsia" w:ascii="黑体" w:hAnsi="黑体" w:eastAsia="黑体"/>
          <w:b w:val="0"/>
          <w:bCs w:val="0"/>
          <w:lang w:val="en-US" w:eastAsia="zh-CN"/>
        </w:rPr>
        <w:t xml:space="preserve">   （一）主要职能</w:t>
      </w:r>
      <w:bookmarkEnd w:id="3"/>
    </w:p>
    <w:p w14:paraId="6DAF8326">
      <w:pPr>
        <w:pStyle w:val="5"/>
        <w:keepNext w:val="0"/>
        <w:keepLines w:val="0"/>
        <w:pageBreakBefore w:val="0"/>
        <w:widowControl/>
        <w:suppressLineNumbers w:val="0"/>
        <w:kinsoku/>
        <w:wordWrap/>
        <w:overflowPunct/>
        <w:topLinePunct w:val="0"/>
        <w:autoSpaceDE w:val="0"/>
        <w:autoSpaceDN/>
        <w:bidi w:val="0"/>
        <w:adjustRightInd/>
        <w:snapToGrid/>
        <w:spacing w:after="0" w:line="240" w:lineRule="auto"/>
        <w:ind w:left="0" w:leftChars="0" w:right="0" w:firstLine="640" w:firstLineChars="200"/>
        <w:textAlignment w:val="auto"/>
        <w:rPr>
          <w:rFonts w:hint="eastAsia" w:ascii="仿宋" w:hAnsi="仿宋" w:eastAsia="仿宋" w:cs="仿宋"/>
          <w:b w:val="0"/>
          <w:color w:val="auto"/>
          <w:kern w:val="2"/>
          <w:sz w:val="32"/>
          <w:szCs w:val="32"/>
          <w:lang w:val="en-US" w:eastAsia="zh-CN" w:bidi="ar-SA"/>
        </w:rPr>
      </w:pPr>
      <w:bookmarkStart w:id="4" w:name="_Toc8596"/>
      <w:bookmarkStart w:id="5" w:name="_Toc22094"/>
      <w:r>
        <w:rPr>
          <w:rFonts w:hint="eastAsia" w:ascii="仿宋" w:hAnsi="仿宋" w:eastAsia="仿宋" w:cs="仿宋"/>
          <w:b w:val="0"/>
          <w:color w:val="auto"/>
          <w:kern w:val="2"/>
          <w:sz w:val="32"/>
          <w:szCs w:val="32"/>
          <w:lang w:val="en-US" w:eastAsia="zh-CN" w:bidi="ar-SA"/>
        </w:rPr>
        <w:t>按照宪法和地方组织法赋予的职权，积极开展立法工作，实施对州人民政府、州监察委员会、州中级人民法院和州人民检察院的法律监督和工作监督；在深入调查研究的基础上审议“一府一委两院”的工作报告，提出审议意见，对重大问题及时作出决议、决定，并督促贯彻执行；依法选举和任免州人大及其常委会组成人员以及“一府一委两院”国家机关工作人员；督促办理人大代表的议案、建议、批评和意见。</w:t>
      </w:r>
    </w:p>
    <w:p w14:paraId="6EFB3155">
      <w:pPr>
        <w:pStyle w:val="5"/>
        <w:keepNext w:val="0"/>
        <w:keepLines w:val="0"/>
        <w:pageBreakBefore w:val="0"/>
        <w:widowControl/>
        <w:suppressLineNumbers w:val="0"/>
        <w:kinsoku/>
        <w:wordWrap/>
        <w:overflowPunct/>
        <w:topLinePunct w:val="0"/>
        <w:autoSpaceDE w:val="0"/>
        <w:autoSpaceDN/>
        <w:bidi w:val="0"/>
        <w:adjustRightInd/>
        <w:snapToGrid/>
        <w:spacing w:line="560" w:lineRule="exact"/>
        <w:ind w:left="-105" w:leftChars="-50" w:right="0" w:firstLine="640" w:firstLineChars="200"/>
        <w:textAlignment w:val="auto"/>
        <w:rPr>
          <w:rStyle w:val="28"/>
          <w:rFonts w:hint="eastAsia" w:ascii="黑体" w:hAnsi="黑体" w:eastAsia="黑体" w:cs="黑体"/>
          <w:b w:val="0"/>
          <w:bCs/>
          <w:sz w:val="32"/>
          <w:szCs w:val="32"/>
          <w:shd w:val="clear" w:fill="FFFFFF"/>
          <w:lang w:val="en-US" w:eastAsia="zh-CN"/>
        </w:rPr>
      </w:pPr>
      <w:bookmarkStart w:id="6" w:name="_Toc79163604"/>
      <w:bookmarkStart w:id="7" w:name="_Toc15377199"/>
      <w:bookmarkStart w:id="8" w:name="_Toc79163854"/>
      <w:bookmarkStart w:id="9" w:name="_Toc15378446"/>
      <w:r>
        <w:rPr>
          <w:rStyle w:val="28"/>
          <w:rFonts w:hint="eastAsia" w:ascii="黑体" w:hAnsi="黑体" w:eastAsia="黑体" w:cs="黑体"/>
          <w:b w:val="0"/>
          <w:bCs/>
          <w:sz w:val="32"/>
          <w:szCs w:val="32"/>
          <w:shd w:val="clear" w:fill="FFFFFF"/>
          <w:lang w:val="en-US" w:eastAsia="zh-CN"/>
        </w:rPr>
        <w:t>（二）2024年重点工作完成情况。</w:t>
      </w:r>
      <w:bookmarkEnd w:id="6"/>
      <w:bookmarkEnd w:id="7"/>
      <w:bookmarkEnd w:id="8"/>
      <w:bookmarkEnd w:id="9"/>
    </w:p>
    <w:bookmarkEnd w:id="4"/>
    <w:p w14:paraId="084387CF">
      <w:pPr>
        <w:overflowPunct w:val="0"/>
        <w:adjustRightInd w:val="0"/>
        <w:snapToGrid w:val="0"/>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w:t>
      </w:r>
      <w:r>
        <w:rPr>
          <w:rFonts w:hint="default" w:ascii="Times New Roman" w:hAnsi="Times New Roman" w:eastAsia="方正仿宋_GBK" w:cs="Times New Roman"/>
          <w:b w:val="0"/>
          <w:bCs w:val="0"/>
          <w:snapToGrid w:val="0"/>
          <w:color w:val="auto"/>
          <w:spacing w:val="0"/>
          <w:kern w:val="0"/>
          <w:sz w:val="32"/>
          <w:szCs w:val="32"/>
          <w:u w:val="none"/>
          <w:lang w:val="en-US" w:eastAsia="zh-CN"/>
        </w:rPr>
        <w:t>加强思想引领，站稳政治立场</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snapToGrid w:val="0"/>
          <w:color w:val="auto"/>
          <w:spacing w:val="0"/>
          <w:kern w:val="0"/>
          <w:sz w:val="32"/>
          <w:szCs w:val="32"/>
          <w:u w:val="none"/>
          <w:lang w:val="en-US" w:eastAsia="zh-CN"/>
        </w:rPr>
        <w:t>始终将党的创新理论作为统一思想、意志、行动的根本，完善理论学习中心组、专题辅导、定期研讨为主要形式的理论学习体系，组织开展理论学习中心组会议8次、专题讲座3次、集中研讨9次</w:t>
      </w:r>
      <w:r>
        <w:rPr>
          <w:rFonts w:hint="default" w:ascii="Times New Roman" w:hAnsi="Times New Roman" w:eastAsia="方正仿宋_GBK" w:cs="Times New Roman"/>
          <w:sz w:val="32"/>
          <w:szCs w:val="32"/>
        </w:rPr>
        <w:t>。</w:t>
      </w:r>
    </w:p>
    <w:p w14:paraId="240FB8AE">
      <w:pPr>
        <w:overflowPunct w:val="0"/>
        <w:adjustRightInd w:val="0"/>
        <w:snapToGrid w:val="0"/>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w:t>
      </w:r>
      <w:r>
        <w:rPr>
          <w:rFonts w:hint="default" w:ascii="Times New Roman" w:hAnsi="Times New Roman" w:eastAsia="方正仿宋_GBK" w:cs="Times New Roman"/>
          <w:snapToGrid w:val="0"/>
          <w:color w:val="auto"/>
          <w:spacing w:val="0"/>
          <w:kern w:val="0"/>
          <w:sz w:val="32"/>
          <w:szCs w:val="32"/>
          <w:u w:val="none"/>
          <w:lang w:val="en-US" w:eastAsia="zh-CN"/>
        </w:rPr>
        <w:t>坚持党管干部与人大依法任免相统一，坚决贯彻省委、州委人事安排意图，依法任免国家机关工作人员91人次，补选省人大代表2名。严格执行重大事项请示报告制度，定期向州委汇报工作，重要会议、重要立法、重要工作、重大事项及时向州委请示报告，一年来请示报告52件次，确保人大工作始终在党的领导下开展。</w:t>
      </w:r>
    </w:p>
    <w:p w14:paraId="5E435189">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w:t>
      </w:r>
      <w:r>
        <w:rPr>
          <w:rFonts w:hint="default" w:ascii="Times New Roman" w:hAnsi="Times New Roman" w:eastAsia="方正仿宋_GBK" w:cs="Times New Roman"/>
          <w:snapToGrid w:val="0"/>
          <w:color w:val="auto"/>
          <w:spacing w:val="0"/>
          <w:kern w:val="0"/>
          <w:sz w:val="32"/>
          <w:szCs w:val="32"/>
          <w:u w:val="none"/>
          <w:lang w:val="en-US" w:eastAsia="zh-CN" w:bidi="ar-SA"/>
        </w:rPr>
        <w:t>坚持依法治州，在尊法护法。</w:t>
      </w:r>
      <w:r>
        <w:rPr>
          <w:rFonts w:hint="default" w:ascii="Times New Roman" w:hAnsi="Times New Roman" w:eastAsia="方正仿宋_GBK" w:cs="Times New Roman"/>
          <w:snapToGrid w:val="0"/>
          <w:color w:val="auto"/>
          <w:spacing w:val="0"/>
          <w:kern w:val="0"/>
          <w:sz w:val="32"/>
          <w:szCs w:val="32"/>
          <w:u w:val="none"/>
          <w:lang w:val="en-US" w:eastAsia="zh-CN"/>
        </w:rPr>
        <w:t>纵深推进基层立法和备案审查联系点建设，新建基层立法联系点8个，实现全州13县（市）全覆盖，新增基层备案审查联系点2个，有效打通立法民意征询“最后一公里”。</w:t>
      </w:r>
      <w:r>
        <w:rPr>
          <w:rFonts w:hint="default" w:ascii="Times New Roman" w:hAnsi="Times New Roman" w:eastAsia="方正仿宋_GBK" w:cs="Times New Roman"/>
          <w:sz w:val="32"/>
          <w:szCs w:val="32"/>
        </w:rPr>
        <w:t>报送的12件决定决议备案审查，相继完成《阿坝藏族羌族自治州红色资源保护传承条例》《阿坝藏族羌族自治州乡村振兴促进条例》《阿坝藏族羌族自治州农村集体经济组织条例》《阿坝藏族羌族自治州实施〈四川省人口与计划生育条例〉的变通规定》审查报批和颁布实施。完成《阿坝藏族羌族自治州实施〈四川省旅游条例〉的变通规定（修订草案）》《阿坝藏族羌族自治州湿地保护条例（修订草案）》《阿坝藏族羌族自治州水资源管理条例（修订草案）》《阿坝藏族羌族自治州气象条例（草案）》起草审议等工作。服务重大项目实施，及时做好《阿坝藏族羌族自治州野生动物植物保护条例》有关条款解释。配合上级人大完成19部法律法规意见征集工作，充分反映“阿坝之需”。建立5个州人大常委会基层立法联系点，推进区域协同立法，与雅安市、乐山市、眉山市、甘孜州、凉山州人大常委会和四川农业大学共同建立“6+1”区域协同机制。</w:t>
      </w:r>
      <w:r>
        <w:rPr>
          <w:rFonts w:hint="default" w:ascii="Times New Roman" w:hAnsi="Times New Roman" w:eastAsia="方正仿宋_GBK" w:cs="Times New Roman"/>
          <w:snapToGrid w:val="0"/>
          <w:color w:val="auto"/>
          <w:spacing w:val="0"/>
          <w:kern w:val="0"/>
          <w:sz w:val="32"/>
          <w:szCs w:val="32"/>
          <w:u w:val="none"/>
          <w:lang w:val="en-US" w:eastAsia="zh-CN"/>
        </w:rPr>
        <w:t>全年完成州人民政府报送的1件规章、3件行政规范性文件，州人民检察院报送的1件规范性文件，各县（市）人大及其常委会报送的65件决定决议的备案审查。</w:t>
      </w:r>
    </w:p>
    <w:p w14:paraId="237FFCC6">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napToGrid w:val="0"/>
          <w:color w:val="auto"/>
          <w:spacing w:val="0"/>
          <w:kern w:val="0"/>
          <w:sz w:val="32"/>
          <w:szCs w:val="32"/>
          <w:u w:val="none"/>
          <w:lang w:val="en-US" w:eastAsia="zh-CN"/>
        </w:rPr>
      </w:pPr>
      <w:r>
        <w:rPr>
          <w:rFonts w:hint="default" w:ascii="Times New Roman" w:hAnsi="Times New Roman" w:eastAsia="方正仿宋_GBK" w:cs="Times New Roman"/>
          <w:sz w:val="32"/>
          <w:szCs w:val="32"/>
        </w:rPr>
        <w:t>四、</w:t>
      </w:r>
      <w:r>
        <w:rPr>
          <w:rFonts w:hint="default" w:ascii="Times New Roman" w:hAnsi="Times New Roman" w:eastAsia="方正仿宋_GBK" w:cs="Times New Roman"/>
          <w:snapToGrid w:val="0"/>
          <w:color w:val="auto"/>
          <w:spacing w:val="0"/>
          <w:kern w:val="0"/>
          <w:sz w:val="32"/>
          <w:szCs w:val="32"/>
          <w:u w:val="none"/>
          <w:lang w:val="en-US" w:eastAsia="zh-CN" w:bidi="ar-SA"/>
        </w:rPr>
        <w:t>坚持服务大局，在发扬民主、主动作为中履行监督之责。</w:t>
      </w:r>
      <w:r>
        <w:rPr>
          <w:rFonts w:hint="default" w:ascii="Times New Roman" w:hAnsi="Times New Roman" w:eastAsia="方正仿宋_GBK" w:cs="Times New Roman"/>
          <w:snapToGrid w:val="0"/>
          <w:color w:val="auto"/>
          <w:spacing w:val="0"/>
          <w:kern w:val="0"/>
          <w:sz w:val="32"/>
          <w:szCs w:val="32"/>
          <w:u w:val="none"/>
          <w:lang w:val="en-US" w:eastAsia="zh-CN"/>
        </w:rPr>
        <w:t>坚持全口径审查、全过程监管，听取和审议2023年和2024年上半年国民经济和社会发展计划执行情况、2023年财政预算执行情况和2024年财政预算草案、2023年财政决算和2024年1至6月财政预算执行情况、2023年州本级财政预算执行和其他财政收支审计工作等报告，强化对政府债务限额、国有资产管理等方面审查监督。常态化开展预算联网监督，督促25个部门整改预算执行中的不规范问题119个。成功申报全省第二批预算联网监督示范点，推动建立人大监督和审计监督联动机制，有效提升财政资金使用管理水平。坚持用法治力量守护绿水青山，全年完成6件生态保护方面法规修订，组织57名全国、省、州人大代表联动开展生态环境保护情况集中视察和《中华人民共和国黄河保护法》执行情况专题调研，开展驻州全国人大代表视察若尔盖国家公园建设工作，围绕“美丽阿坝建设我们在行动”主题，组织开展阿坝环保世纪行系列宣传活动。开展《中华人民共和国食品安全法》《四川省铁路安全管理条例》等执法检查，有效开展农村人居环境整治提升、全州广播体系建设、“9+3”免费职业教育、高技能人才队伍建设、外事侨务工作等专题调研。听取和审议保障农民工工资支付工作情况的报告，保障农民工合法权益。指导县乡两级人大开展民生实事项目人大代表票决制，93个县级民生项目、128个乡（镇）民生实事依法票决实施，助推群众之需、群众之盼转化为德政工程、民心工程。</w:t>
      </w:r>
    </w:p>
    <w:p w14:paraId="5E6AEEA9">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napToGrid w:val="0"/>
          <w:color w:val="auto"/>
          <w:spacing w:val="0"/>
          <w:kern w:val="0"/>
          <w:sz w:val="32"/>
          <w:szCs w:val="32"/>
          <w:u w:val="none"/>
          <w:lang w:val="en-US" w:eastAsia="zh-CN"/>
        </w:rPr>
      </w:pPr>
      <w:r>
        <w:rPr>
          <w:rFonts w:hint="default" w:ascii="Times New Roman" w:hAnsi="Times New Roman" w:eastAsia="方正仿宋_GBK" w:cs="Times New Roman"/>
          <w:sz w:val="32"/>
          <w:szCs w:val="32"/>
        </w:rPr>
        <w:t>五、</w:t>
      </w:r>
      <w:r>
        <w:rPr>
          <w:rFonts w:hint="default" w:ascii="Times New Roman" w:hAnsi="Times New Roman" w:eastAsia="方正仿宋_GBK" w:cs="Times New Roman"/>
          <w:snapToGrid w:val="0"/>
          <w:color w:val="auto"/>
          <w:spacing w:val="0"/>
          <w:kern w:val="0"/>
          <w:sz w:val="32"/>
          <w:szCs w:val="32"/>
          <w:u w:val="none"/>
          <w:lang w:val="en-US" w:eastAsia="zh-CN" w:bidi="ar-SA"/>
        </w:rPr>
        <w:t>坚持人民立场，在联系群众、汇聚力量中发挥代表作用。</w:t>
      </w:r>
      <w:r>
        <w:rPr>
          <w:rFonts w:hint="default" w:ascii="Times New Roman" w:hAnsi="Times New Roman" w:eastAsia="方正仿宋_GBK" w:cs="Times New Roman"/>
          <w:sz w:val="32"/>
          <w:szCs w:val="32"/>
        </w:rPr>
        <w:t>全</w:t>
      </w:r>
      <w:r>
        <w:rPr>
          <w:rFonts w:hint="default" w:ascii="Times New Roman" w:hAnsi="Times New Roman" w:eastAsia="方正仿宋_GBK" w:cs="Times New Roman"/>
          <w:snapToGrid w:val="0"/>
          <w:color w:val="auto"/>
          <w:spacing w:val="0"/>
          <w:kern w:val="0"/>
          <w:sz w:val="32"/>
          <w:szCs w:val="32"/>
          <w:u w:val="none"/>
          <w:lang w:val="en-US" w:eastAsia="zh-CN"/>
        </w:rPr>
        <w:t>严格落实常委会组成人员联系代表、代表联系群众工作机制，常委会组成人员直接联系2至3名基层代表，每季度收集联系工作中的建议意见，形成闭会期间代表建议1件、工作建议20条，均转州人民政府办理。密切代表与群众的联系，通过经常走访、定期接待等方式，收集群众意见建议7000余条，全州188个代表之家、624个代表联络站规范运行，五级人大代表全部进“家”入“站”、依法履职。全州各级人大常委会组成人员联系代表、代表联系群众超4万人次，努力做到民有所呼、我有所应。一年来，各级人大代表2.35万人次参加履职活动，走访接待群众超10万人次，走访帮助企业1089个，收集困难问题3156件，帮助协调解决2858件，提出代表建议1413条。探索开展代表多级、跨区域联动调研视察活动，与雅安市联合开展大熊猫国家公园建设情况专题调研。组织18名省人大代表参加履职培训，举办州人大代表履职培训班2期160余人次，提升代表履职水平。足额预算、划拨代表活动和履职经费，及时兑现代表履职补助、开展困难代表慰问，尽心为代表工作生活排忧解难。</w:t>
      </w:r>
    </w:p>
    <w:p w14:paraId="0E1FAC6F">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w:t>
      </w:r>
      <w:r>
        <w:rPr>
          <w:rFonts w:hint="default" w:ascii="Times New Roman" w:hAnsi="Times New Roman" w:eastAsia="方正仿宋_GBK" w:cs="Times New Roman"/>
          <w:snapToGrid w:val="0"/>
          <w:color w:val="auto"/>
          <w:spacing w:val="0"/>
          <w:kern w:val="0"/>
          <w:sz w:val="32"/>
          <w:szCs w:val="32"/>
          <w:u w:val="none"/>
          <w:lang w:val="en-US" w:eastAsia="zh-CN" w:bidi="ar-SA"/>
        </w:rPr>
        <w:t>坚持守正创新，在依法履职、争先创优中展示人大风采。</w:t>
      </w:r>
      <w:r>
        <w:rPr>
          <w:rFonts w:hint="default" w:ascii="Times New Roman" w:hAnsi="Times New Roman" w:eastAsia="方正仿宋_GBK" w:cs="Times New Roman"/>
          <w:snapToGrid w:val="0"/>
          <w:color w:val="auto"/>
          <w:spacing w:val="0"/>
          <w:kern w:val="0"/>
          <w:sz w:val="32"/>
          <w:szCs w:val="32"/>
          <w:u w:val="none"/>
          <w:lang w:val="en-US" w:eastAsia="zh-CN"/>
        </w:rPr>
        <w:t>致力于发挥“四个机关”在人大及其常委会建设中的目标指引作用，牢牢把握正确政治方向，为坚持好、完善好、运行好人民代表大会制度提供有力保障。</w:t>
      </w:r>
    </w:p>
    <w:p w14:paraId="27220B97">
      <w:pPr>
        <w:pStyle w:val="3"/>
        <w:pageBreakBefore w:val="0"/>
        <w:numPr>
          <w:ilvl w:val="0"/>
          <w:numId w:val="0"/>
        </w:numPr>
        <w:kinsoku/>
        <w:wordWrap/>
        <w:overflowPunct/>
        <w:topLinePunct w:val="0"/>
        <w:autoSpaceDN/>
        <w:bidi w:val="0"/>
        <w:adjustRightInd/>
        <w:snapToGrid/>
        <w:spacing w:line="560" w:lineRule="exact"/>
        <w:ind w:leftChars="200"/>
        <w:textAlignment w:val="auto"/>
        <w:rPr>
          <w:rStyle w:val="29"/>
          <w:rFonts w:hint="eastAsia" w:ascii="黑体" w:hAnsi="黑体" w:eastAsia="黑体"/>
          <w:b w:val="0"/>
          <w:bCs w:val="0"/>
          <w:color w:val="auto"/>
          <w:lang w:val="en-US" w:eastAsia="zh-CN" w:bidi="ar-SA"/>
        </w:rPr>
      </w:pPr>
      <w:r>
        <w:rPr>
          <w:rStyle w:val="29"/>
          <w:rFonts w:hint="eastAsia" w:ascii="黑体" w:hAnsi="黑体" w:eastAsia="黑体"/>
          <w:b w:val="0"/>
          <w:bCs w:val="0"/>
          <w:color w:val="auto"/>
          <w:lang w:val="en-US" w:eastAsia="zh-CN" w:bidi="ar-SA"/>
        </w:rPr>
        <w:t>二、机构设置</w:t>
      </w:r>
    </w:p>
    <w:p w14:paraId="3C1F89B7">
      <w:pPr>
        <w:spacing w:line="576" w:lineRule="exact"/>
        <w:ind w:left="0" w:firstLine="664" w:firstLineChars="200"/>
        <w:rPr>
          <w:rFonts w:hint="eastAsia" w:ascii="仿宋" w:hAnsi="仿宋" w:eastAsia="仿宋" w:cs="仿宋"/>
          <w:color w:val="auto"/>
          <w:spacing w:val="6"/>
          <w:sz w:val="32"/>
          <w:szCs w:val="32"/>
          <w:lang w:val="en-US" w:eastAsia="zh-CN"/>
        </w:rPr>
      </w:pPr>
      <w:r>
        <w:rPr>
          <w:rFonts w:hint="default" w:ascii="仿宋" w:hAnsi="仿宋" w:eastAsia="仿宋" w:cs="仿宋"/>
          <w:color w:val="auto"/>
          <w:spacing w:val="6"/>
          <w:sz w:val="32"/>
          <w:szCs w:val="32"/>
          <w:lang w:val="en-US" w:eastAsia="zh-CN"/>
        </w:rPr>
        <w:t>机关内设1</w:t>
      </w:r>
      <w:r>
        <w:rPr>
          <w:rFonts w:hint="eastAsia" w:ascii="仿宋" w:hAnsi="仿宋" w:eastAsia="仿宋" w:cs="仿宋"/>
          <w:color w:val="auto"/>
          <w:spacing w:val="6"/>
          <w:sz w:val="32"/>
          <w:szCs w:val="32"/>
          <w:lang w:val="en-US" w:eastAsia="zh-CN"/>
        </w:rPr>
        <w:t>2</w:t>
      </w:r>
      <w:r>
        <w:rPr>
          <w:rFonts w:hint="default" w:ascii="仿宋" w:hAnsi="仿宋" w:eastAsia="仿宋" w:cs="仿宋"/>
          <w:color w:val="auto"/>
          <w:spacing w:val="6"/>
          <w:sz w:val="32"/>
          <w:szCs w:val="32"/>
          <w:lang w:val="en-US" w:eastAsia="zh-CN"/>
        </w:rPr>
        <w:t>个正县级机构，13个科级机构</w:t>
      </w:r>
      <w:r>
        <w:rPr>
          <w:rFonts w:hint="eastAsia" w:ascii="仿宋" w:hAnsi="仿宋" w:eastAsia="仿宋" w:cs="仿宋"/>
          <w:color w:val="auto"/>
          <w:spacing w:val="6"/>
          <w:sz w:val="32"/>
          <w:szCs w:val="32"/>
          <w:lang w:val="en-US" w:eastAsia="zh-CN"/>
        </w:rPr>
        <w:t>，1个正科级事业机构。</w:t>
      </w:r>
    </w:p>
    <w:p w14:paraId="4A4F8C47">
      <w:pPr>
        <w:spacing w:line="576" w:lineRule="exact"/>
        <w:ind w:left="0" w:firstLine="640" w:firstLineChars="20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本单位本年度纳入本套决算编制范围的独立编制机构数共1个，比上年增加0个，变动情况及原因为与上年相比无变化；独立核算机构数共1个，比上年增加0个，变动情况及原因为与上年相比无变化。</w:t>
      </w:r>
    </w:p>
    <w:bookmarkEnd w:id="5"/>
    <w:p w14:paraId="1BBFC92A">
      <w:pPr>
        <w:pStyle w:val="14"/>
        <w:widowControl/>
        <w:spacing w:before="0" w:beforeAutospacing="0" w:line="576" w:lineRule="exact"/>
        <w:ind w:firstLine="640" w:firstLineChars="200"/>
        <w:rPr>
          <w:rStyle w:val="17"/>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sz w:val="32"/>
          <w:szCs w:val="32"/>
          <w:shd w:val="clear" w:color="auto" w:fill="FFFFFF"/>
        </w:rPr>
        <w:t>阿坝州人大常委会办公室本年度年末实有人数为6</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人，在职职工6</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人，较上年减少</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人；年末实有退休人数为8</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人，比上年增加</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人；</w:t>
      </w:r>
      <w:r>
        <w:rPr>
          <w:rStyle w:val="17"/>
          <w:rFonts w:hint="default" w:ascii="Times New Roman" w:hAnsi="Times New Roman" w:eastAsia="方正仿宋_GBK" w:cs="Times New Roman"/>
          <w:b w:val="0"/>
          <w:bCs w:val="0"/>
          <w:sz w:val="32"/>
          <w:szCs w:val="32"/>
          <w:shd w:val="clear" w:color="auto" w:fill="FFFFFF"/>
        </w:rPr>
        <w:t>变动情况及原因为202</w:t>
      </w:r>
      <w:r>
        <w:rPr>
          <w:rStyle w:val="17"/>
          <w:rFonts w:hint="default" w:ascii="Times New Roman" w:hAnsi="Times New Roman" w:eastAsia="方正仿宋_GBK" w:cs="Times New Roman"/>
          <w:b w:val="0"/>
          <w:bCs w:val="0"/>
          <w:sz w:val="32"/>
          <w:szCs w:val="32"/>
          <w:shd w:val="clear" w:color="auto" w:fill="FFFFFF"/>
          <w:lang w:val="en-US" w:eastAsia="zh-CN"/>
        </w:rPr>
        <w:t>4</w:t>
      </w:r>
      <w:r>
        <w:rPr>
          <w:rStyle w:val="17"/>
          <w:rFonts w:hint="default" w:ascii="Times New Roman" w:hAnsi="Times New Roman" w:eastAsia="方正仿宋_GBK" w:cs="Times New Roman"/>
          <w:b w:val="0"/>
          <w:bCs w:val="0"/>
          <w:sz w:val="32"/>
          <w:szCs w:val="32"/>
          <w:shd w:val="clear" w:color="auto" w:fill="FFFFFF"/>
        </w:rPr>
        <w:t>年退休</w:t>
      </w:r>
      <w:r>
        <w:rPr>
          <w:rStyle w:val="17"/>
          <w:rFonts w:hint="default" w:ascii="Times New Roman" w:hAnsi="Times New Roman" w:eastAsia="方正仿宋_GBK" w:cs="Times New Roman"/>
          <w:b w:val="0"/>
          <w:bCs w:val="0"/>
          <w:sz w:val="32"/>
          <w:szCs w:val="32"/>
          <w:shd w:val="clear" w:color="auto" w:fill="FFFFFF"/>
          <w:lang w:val="en-US" w:eastAsia="zh-CN"/>
        </w:rPr>
        <w:t>5</w:t>
      </w:r>
      <w:r>
        <w:rPr>
          <w:rStyle w:val="17"/>
          <w:rFonts w:hint="default" w:ascii="Times New Roman" w:hAnsi="Times New Roman" w:eastAsia="方正仿宋_GBK" w:cs="Times New Roman"/>
          <w:b w:val="0"/>
          <w:bCs w:val="0"/>
          <w:sz w:val="32"/>
          <w:szCs w:val="32"/>
          <w:shd w:val="clear" w:color="auto" w:fill="FFFFFF"/>
        </w:rPr>
        <w:t>人，</w:t>
      </w:r>
      <w:r>
        <w:rPr>
          <w:rStyle w:val="17"/>
          <w:rFonts w:hint="default" w:ascii="Times New Roman" w:hAnsi="Times New Roman" w:eastAsia="方正仿宋_GBK" w:cs="Times New Roman"/>
          <w:b w:val="0"/>
          <w:bCs w:val="0"/>
          <w:sz w:val="32"/>
          <w:szCs w:val="32"/>
          <w:shd w:val="clear" w:color="auto" w:fill="FFFFFF"/>
          <w:lang w:val="en-US" w:eastAsia="zh-CN"/>
        </w:rPr>
        <w:t>调出1</w:t>
      </w:r>
      <w:r>
        <w:rPr>
          <w:rStyle w:val="17"/>
          <w:rFonts w:hint="default" w:ascii="Times New Roman" w:hAnsi="Times New Roman" w:eastAsia="方正仿宋_GBK" w:cs="Times New Roman"/>
          <w:b w:val="0"/>
          <w:bCs w:val="0"/>
          <w:sz w:val="32"/>
          <w:szCs w:val="32"/>
          <w:shd w:val="clear" w:color="auto" w:fill="FFFFFF"/>
        </w:rPr>
        <w:t>人</w:t>
      </w:r>
      <w:r>
        <w:rPr>
          <w:rStyle w:val="17"/>
          <w:rFonts w:hint="default" w:ascii="Times New Roman" w:hAnsi="Times New Roman" w:eastAsia="方正仿宋_GBK" w:cs="Times New Roman"/>
          <w:b w:val="0"/>
          <w:bCs w:val="0"/>
          <w:sz w:val="32"/>
          <w:szCs w:val="32"/>
          <w:shd w:val="clear" w:color="auto" w:fill="FFFFFF"/>
          <w:lang w:eastAsia="zh-CN"/>
        </w:rPr>
        <w:t>，</w:t>
      </w:r>
      <w:r>
        <w:rPr>
          <w:rStyle w:val="17"/>
          <w:rFonts w:hint="default" w:ascii="Times New Roman" w:hAnsi="Times New Roman" w:eastAsia="方正仿宋_GBK" w:cs="Times New Roman"/>
          <w:b w:val="0"/>
          <w:bCs w:val="0"/>
          <w:sz w:val="32"/>
          <w:szCs w:val="32"/>
          <w:shd w:val="clear" w:color="auto" w:fill="FFFFFF"/>
          <w:lang w:val="en-US" w:eastAsia="zh-CN"/>
        </w:rPr>
        <w:t>下编1人</w:t>
      </w:r>
      <w:r>
        <w:rPr>
          <w:rStyle w:val="17"/>
          <w:rFonts w:hint="default" w:ascii="Times New Roman" w:hAnsi="Times New Roman" w:eastAsia="方正仿宋_GBK" w:cs="Times New Roman"/>
          <w:b w:val="0"/>
          <w:bCs w:val="0"/>
          <w:sz w:val="32"/>
          <w:szCs w:val="32"/>
          <w:shd w:val="clear" w:color="auto" w:fill="FFFFFF"/>
          <w:lang w:eastAsia="zh-CN"/>
        </w:rPr>
        <w:t>，</w:t>
      </w:r>
      <w:r>
        <w:rPr>
          <w:rStyle w:val="17"/>
          <w:rFonts w:hint="default" w:ascii="Times New Roman" w:hAnsi="Times New Roman" w:eastAsia="方正仿宋_GBK" w:cs="Times New Roman"/>
          <w:b w:val="0"/>
          <w:bCs w:val="0"/>
          <w:sz w:val="32"/>
          <w:szCs w:val="32"/>
          <w:shd w:val="clear" w:color="auto" w:fill="FFFFFF"/>
          <w:lang w:val="en-US" w:eastAsia="zh-CN"/>
        </w:rPr>
        <w:t>调入6人</w:t>
      </w:r>
      <w:r>
        <w:rPr>
          <w:rStyle w:val="17"/>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sz w:val="32"/>
          <w:szCs w:val="32"/>
          <w:shd w:val="clear" w:color="auto" w:fill="FFFFFF"/>
        </w:rPr>
        <w:t>年末实有其他人数为0人，比上年增加0人；</w:t>
      </w:r>
      <w:r>
        <w:rPr>
          <w:rStyle w:val="17"/>
          <w:rFonts w:hint="default" w:ascii="Times New Roman" w:hAnsi="Times New Roman" w:eastAsia="方正仿宋_GBK" w:cs="Times New Roman"/>
          <w:b w:val="0"/>
          <w:bCs w:val="0"/>
          <w:sz w:val="32"/>
          <w:szCs w:val="32"/>
          <w:shd w:val="clear" w:color="auto" w:fill="FFFFFF"/>
        </w:rPr>
        <w:t>变动情况及原因为无。</w:t>
      </w:r>
    </w:p>
    <w:p w14:paraId="0C880069">
      <w:pPr>
        <w:spacing w:line="576" w:lineRule="exact"/>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sz w:val="32"/>
          <w:szCs w:val="32"/>
          <w:highlight w:val="none"/>
        </w:rPr>
        <w:br w:type="page"/>
      </w:r>
    </w:p>
    <w:p w14:paraId="6CC810AD">
      <w:pPr>
        <w:pStyle w:val="2"/>
        <w:ind w:right="440"/>
        <w:jc w:val="center"/>
        <w:rPr>
          <w:color w:val="auto"/>
          <w:highlight w:val="none"/>
        </w:rPr>
      </w:pPr>
      <w:bookmarkStart w:id="10" w:name="_Toc545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2024年度</w:t>
      </w:r>
      <w:r>
        <w:rPr>
          <w:rStyle w:val="20"/>
          <w:rFonts w:hint="eastAsia" w:ascii="黑体" w:hAnsi="黑体" w:eastAsia="黑体"/>
          <w:b w:val="0"/>
          <w:bCs/>
          <w:color w:val="auto"/>
          <w:highlight w:val="none"/>
          <w:lang w:eastAsia="zh-CN"/>
        </w:rPr>
        <w:t>单位</w:t>
      </w:r>
      <w:r>
        <w:rPr>
          <w:rStyle w:val="20"/>
          <w:rFonts w:hint="eastAsia" w:ascii="黑体" w:hAnsi="黑体" w:eastAsia="黑体"/>
          <w:b w:val="0"/>
          <w:bCs/>
          <w:color w:val="auto"/>
          <w:highlight w:val="none"/>
        </w:rPr>
        <w:t>决算情况说明</w:t>
      </w:r>
      <w:bookmarkEnd w:id="10"/>
    </w:p>
    <w:p w14:paraId="2FDFC76E">
      <w:pPr>
        <w:pStyle w:val="25"/>
        <w:numPr>
          <w:ilvl w:val="0"/>
          <w:numId w:val="0"/>
        </w:numPr>
        <w:spacing w:line="600" w:lineRule="exact"/>
        <w:ind w:left="640" w:leftChars="0"/>
        <w:outlineLvl w:val="1"/>
        <w:rPr>
          <w:rStyle w:val="21"/>
          <w:rFonts w:ascii="黑体" w:hAnsi="黑体" w:eastAsia="黑体"/>
          <w:b w:val="0"/>
          <w:color w:val="auto"/>
          <w:highlight w:val="none"/>
        </w:rPr>
      </w:pPr>
      <w:bookmarkStart w:id="11" w:name="_Toc16833"/>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入支出决算总体情况说明</w:t>
      </w:r>
      <w:bookmarkEnd w:id="11"/>
    </w:p>
    <w:p w14:paraId="124B6A7E">
      <w:pPr>
        <w:spacing w:line="600" w:lineRule="exact"/>
        <w:ind w:firstLine="640" w:firstLineChars="200"/>
        <w:rPr>
          <w:rFonts w:hint="default" w:ascii="Times New Roman" w:hAnsi="Times New Roman" w:cs="Times New Roman"/>
          <w:b w:val="0"/>
          <w:bCs w:val="0"/>
          <w:lang w:eastAsia="zh-CN"/>
        </w:rPr>
      </w:pPr>
      <w:r>
        <w:rPr>
          <w:rFonts w:hint="default" w:ascii="Times New Roman" w:hAnsi="Times New Roman" w:eastAsia="仿宋" w:cs="Times New Roman"/>
          <w:b w:val="0"/>
          <w:bCs w:val="0"/>
          <w:color w:val="auto"/>
          <w:sz w:val="32"/>
          <w:szCs w:val="32"/>
          <w:highlight w:val="none"/>
          <w:lang w:eastAsia="zh-CN"/>
        </w:rPr>
        <w:t>202</w:t>
      </w:r>
      <w:r>
        <w:rPr>
          <w:rFonts w:hint="default" w:ascii="Times New Roman" w:hAnsi="Times New Roman" w:eastAsia="仿宋" w:cs="Times New Roman"/>
          <w:b w:val="0"/>
          <w:bCs w:val="0"/>
          <w:color w:val="auto"/>
          <w:sz w:val="32"/>
          <w:szCs w:val="32"/>
          <w:highlight w:val="none"/>
          <w:lang w:val="en-US" w:eastAsia="zh-CN"/>
        </w:rPr>
        <w:t>4</w:t>
      </w:r>
      <w:r>
        <w:rPr>
          <w:rFonts w:hint="default" w:ascii="Times New Roman" w:hAnsi="Times New Roman" w:eastAsia="仿宋" w:cs="Times New Roman"/>
          <w:b w:val="0"/>
          <w:bCs w:val="0"/>
          <w:color w:val="auto"/>
          <w:sz w:val="32"/>
          <w:szCs w:val="32"/>
          <w:highlight w:val="none"/>
        </w:rPr>
        <w:t>年度收</w:t>
      </w:r>
      <w:r>
        <w:rPr>
          <w:rFonts w:hint="default" w:ascii="Times New Roman" w:hAnsi="Times New Roman" w:eastAsia="仿宋" w:cs="Times New Roman"/>
          <w:b w:val="0"/>
          <w:bCs w:val="0"/>
          <w:color w:val="auto"/>
          <w:sz w:val="32"/>
          <w:szCs w:val="32"/>
          <w:highlight w:val="none"/>
          <w:lang w:val="en-US" w:eastAsia="zh-CN"/>
        </w:rPr>
        <w:t>入为4,</w:t>
      </w:r>
      <w:r>
        <w:rPr>
          <w:rFonts w:hint="eastAsia" w:ascii="Times New Roman" w:hAnsi="Times New Roman" w:eastAsia="仿宋" w:cs="Times New Roman"/>
          <w:b w:val="0"/>
          <w:bCs w:val="0"/>
          <w:color w:val="auto"/>
          <w:sz w:val="32"/>
          <w:szCs w:val="32"/>
          <w:highlight w:val="none"/>
          <w:lang w:val="en-US" w:eastAsia="zh-CN"/>
        </w:rPr>
        <w:t>186.03</w:t>
      </w:r>
      <w:r>
        <w:rPr>
          <w:rFonts w:hint="default" w:ascii="Times New Roman" w:hAnsi="Times New Roman" w:eastAsia="仿宋" w:cs="Times New Roman"/>
          <w:b w:val="0"/>
          <w:bCs w:val="0"/>
          <w:color w:val="auto"/>
          <w:sz w:val="32"/>
          <w:szCs w:val="32"/>
          <w:highlight w:val="none"/>
        </w:rPr>
        <w:t>万元、支</w:t>
      </w:r>
      <w:r>
        <w:rPr>
          <w:rFonts w:hint="default" w:ascii="Times New Roman" w:hAnsi="Times New Roman" w:eastAsia="仿宋" w:cs="Times New Roman"/>
          <w:b w:val="0"/>
          <w:bCs w:val="0"/>
          <w:color w:val="auto"/>
          <w:sz w:val="32"/>
          <w:szCs w:val="32"/>
          <w:highlight w:val="none"/>
          <w:lang w:val="en-US" w:eastAsia="zh-CN"/>
        </w:rPr>
        <w:t>出</w:t>
      </w:r>
      <w:r>
        <w:rPr>
          <w:rFonts w:hint="default" w:ascii="Times New Roman" w:hAnsi="Times New Roman" w:eastAsia="仿宋" w:cs="Times New Roman"/>
          <w:b w:val="0"/>
          <w:bCs w:val="0"/>
          <w:color w:val="auto"/>
          <w:sz w:val="32"/>
          <w:szCs w:val="32"/>
          <w:highlight w:val="none"/>
          <w:lang w:eastAsia="zh-CN"/>
        </w:rPr>
        <w:t>为</w:t>
      </w:r>
      <w:r>
        <w:rPr>
          <w:rFonts w:hint="default" w:ascii="Times New Roman" w:hAnsi="Times New Roman" w:eastAsia="仿宋" w:cs="Times New Roman"/>
          <w:b w:val="0"/>
          <w:bCs w:val="0"/>
          <w:color w:val="auto"/>
          <w:sz w:val="32"/>
          <w:szCs w:val="32"/>
          <w:highlight w:val="none"/>
          <w:lang w:val="en-US" w:eastAsia="zh-CN"/>
        </w:rPr>
        <w:t>4,</w:t>
      </w:r>
      <w:r>
        <w:rPr>
          <w:rFonts w:hint="eastAsia" w:ascii="Times New Roman" w:hAnsi="Times New Roman" w:eastAsia="仿宋" w:cs="Times New Roman"/>
          <w:b w:val="0"/>
          <w:bCs w:val="0"/>
          <w:color w:val="auto"/>
          <w:sz w:val="32"/>
          <w:szCs w:val="32"/>
          <w:highlight w:val="none"/>
          <w:lang w:val="en-US" w:eastAsia="zh-CN"/>
        </w:rPr>
        <w:t>186.03</w:t>
      </w:r>
      <w:r>
        <w:rPr>
          <w:rFonts w:hint="default" w:ascii="Times New Roman" w:hAnsi="Times New Roman" w:eastAsia="仿宋" w:cs="Times New Roman"/>
          <w:b w:val="0"/>
          <w:bCs w:val="0"/>
          <w:color w:val="auto"/>
          <w:sz w:val="32"/>
          <w:szCs w:val="32"/>
          <w:highlight w:val="none"/>
        </w:rPr>
        <w:t>万元。与</w:t>
      </w:r>
      <w:r>
        <w:rPr>
          <w:rFonts w:hint="default" w:ascii="Times New Roman" w:hAnsi="Times New Roman" w:eastAsia="仿宋" w:cs="Times New Roman"/>
          <w:b w:val="0"/>
          <w:bCs w:val="0"/>
          <w:color w:val="auto"/>
          <w:sz w:val="32"/>
          <w:szCs w:val="32"/>
          <w:highlight w:val="none"/>
          <w:lang w:eastAsia="zh-CN"/>
        </w:rPr>
        <w:t>202</w:t>
      </w:r>
      <w:r>
        <w:rPr>
          <w:rFonts w:hint="default" w:ascii="Times New Roman" w:hAnsi="Times New Roman" w:eastAsia="仿宋" w:cs="Times New Roman"/>
          <w:b w:val="0"/>
          <w:bCs w:val="0"/>
          <w:color w:val="auto"/>
          <w:sz w:val="32"/>
          <w:szCs w:val="32"/>
          <w:highlight w:val="none"/>
          <w:lang w:val="en-US" w:eastAsia="zh-CN"/>
        </w:rPr>
        <w:t>3</w:t>
      </w:r>
      <w:r>
        <w:rPr>
          <w:rFonts w:hint="default" w:ascii="Times New Roman" w:hAnsi="Times New Roman" w:eastAsia="仿宋" w:cs="Times New Roman"/>
          <w:b w:val="0"/>
          <w:bCs w:val="0"/>
          <w:color w:val="auto"/>
          <w:sz w:val="32"/>
          <w:szCs w:val="32"/>
          <w:highlight w:val="none"/>
        </w:rPr>
        <w:t>年</w:t>
      </w:r>
      <w:r>
        <w:rPr>
          <w:rFonts w:hint="default" w:ascii="Times New Roman" w:hAnsi="Times New Roman" w:eastAsia="仿宋" w:cs="Times New Roman"/>
          <w:b w:val="0"/>
          <w:bCs w:val="0"/>
          <w:color w:val="auto"/>
          <w:sz w:val="32"/>
          <w:szCs w:val="32"/>
          <w:highlight w:val="none"/>
          <w:lang w:eastAsia="zh-CN"/>
        </w:rPr>
        <w:t>度</w:t>
      </w:r>
      <w:r>
        <w:rPr>
          <w:rFonts w:hint="default" w:ascii="Times New Roman" w:hAnsi="Times New Roman" w:eastAsia="仿宋" w:cs="Times New Roman"/>
          <w:b w:val="0"/>
          <w:bCs w:val="0"/>
          <w:color w:val="auto"/>
          <w:sz w:val="32"/>
          <w:szCs w:val="32"/>
          <w:highlight w:val="none"/>
        </w:rPr>
        <w:t>相比</w:t>
      </w:r>
      <w:r>
        <w:rPr>
          <w:rFonts w:hint="default" w:ascii="Times New Roman" w:hAnsi="Times New Roman" w:eastAsia="仿宋" w:cs="Times New Roman"/>
          <w:b w:val="0"/>
          <w:bCs w:val="0"/>
          <w:color w:val="auto"/>
          <w:sz w:val="32"/>
          <w:szCs w:val="32"/>
          <w:highlight w:val="none"/>
          <w:lang w:val="en-US" w:eastAsia="zh-CN"/>
        </w:rPr>
        <w:t>收、支总计各</w:t>
      </w:r>
      <w:r>
        <w:rPr>
          <w:rFonts w:hint="eastAsia" w:ascii="Times New Roman" w:hAnsi="Times New Roman" w:eastAsia="仿宋" w:cs="Times New Roman"/>
          <w:b w:val="0"/>
          <w:bCs w:val="0"/>
          <w:color w:val="auto"/>
          <w:sz w:val="32"/>
          <w:szCs w:val="32"/>
          <w:highlight w:val="none"/>
          <w:lang w:val="en-US" w:eastAsia="zh-CN"/>
        </w:rPr>
        <w:t>增加107.38</w:t>
      </w:r>
      <w:r>
        <w:rPr>
          <w:rFonts w:hint="default" w:ascii="Times New Roman" w:hAnsi="Times New Roman" w:eastAsia="仿宋" w:cs="Times New Roman"/>
          <w:b w:val="0"/>
          <w:bCs w:val="0"/>
          <w:color w:val="auto"/>
          <w:sz w:val="32"/>
          <w:szCs w:val="32"/>
          <w:highlight w:val="none"/>
          <w:lang w:val="en-US" w:eastAsia="zh-CN"/>
        </w:rPr>
        <w:t>万元，</w:t>
      </w:r>
      <w:r>
        <w:rPr>
          <w:rFonts w:hint="eastAsia" w:ascii="Times New Roman" w:hAnsi="Times New Roman" w:eastAsia="仿宋" w:cs="Times New Roman"/>
          <w:b w:val="0"/>
          <w:bCs w:val="0"/>
          <w:color w:val="auto"/>
          <w:sz w:val="32"/>
          <w:szCs w:val="32"/>
          <w:highlight w:val="none"/>
          <w:lang w:val="en-US" w:eastAsia="zh-CN"/>
        </w:rPr>
        <w:t>增加2.63</w:t>
      </w:r>
      <w:r>
        <w:rPr>
          <w:rFonts w:hint="default" w:ascii="Times New Roman" w:hAnsi="Times New Roman" w:eastAsia="仿宋" w:cs="Times New Roman"/>
          <w:b w:val="0"/>
          <w:bCs w:val="0"/>
          <w:color w:val="auto"/>
          <w:sz w:val="32"/>
          <w:szCs w:val="32"/>
          <w:highlight w:val="none"/>
          <w:lang w:val="en-US" w:eastAsia="zh-CN"/>
        </w:rPr>
        <w:t>%。</w:t>
      </w:r>
      <w:r>
        <w:rPr>
          <w:rFonts w:hint="default" w:ascii="Times New Roman" w:hAnsi="Times New Roman" w:eastAsia="仿宋" w:cs="Times New Roman"/>
          <w:b w:val="0"/>
          <w:bCs w:val="0"/>
          <w:color w:val="auto"/>
          <w:sz w:val="32"/>
          <w:szCs w:val="32"/>
          <w:highlight w:val="none"/>
          <w:lang w:eastAsia="zh-CN"/>
        </w:rPr>
        <w:t>主要变动原因是</w:t>
      </w:r>
      <w:r>
        <w:rPr>
          <w:rFonts w:hint="eastAsia" w:ascii="Times New Roman" w:hAnsi="Times New Roman" w:eastAsia="仿宋_GB2312" w:cs="Times New Roman"/>
          <w:b w:val="0"/>
          <w:bCs w:val="0"/>
          <w:color w:val="000000"/>
          <w:sz w:val="32"/>
          <w:szCs w:val="32"/>
          <w:lang w:val="en-US" w:eastAsia="zh-CN"/>
        </w:rPr>
        <w:t>政策性调资</w:t>
      </w:r>
      <w:r>
        <w:rPr>
          <w:rFonts w:hint="default" w:ascii="Times New Roman" w:hAnsi="Times New Roman" w:eastAsia="仿宋" w:cs="Times New Roman"/>
          <w:b w:val="0"/>
          <w:bCs w:val="0"/>
          <w:color w:val="auto"/>
          <w:sz w:val="32"/>
          <w:szCs w:val="32"/>
          <w:highlight w:val="none"/>
          <w:lang w:eastAsia="zh-CN"/>
        </w:rPr>
        <w:t>。</w:t>
      </w:r>
    </w:p>
    <w:p w14:paraId="0DE6FAD6">
      <w:pPr>
        <w:pStyle w:val="18"/>
        <w:ind w:left="0" w:leftChars="0" w:firstLine="0" w:firstLineChars="0"/>
        <w:jc w:val="both"/>
        <w:rPr>
          <w:rFonts w:hint="eastAsia"/>
          <w:lang w:eastAsia="zh-CN"/>
        </w:rPr>
      </w:pPr>
      <w:r>
        <w:rPr>
          <w:rFonts w:hint="eastAsia" w:ascii="黑体" w:hAnsi="黑体" w:eastAsia="黑体"/>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361950</wp:posOffset>
            </wp:positionH>
            <wp:positionV relativeFrom="paragraph">
              <wp:posOffset>154940</wp:posOffset>
            </wp:positionV>
            <wp:extent cx="4399915" cy="1812925"/>
            <wp:effectExtent l="4445" t="4445" r="15240" b="11430"/>
            <wp:wrapTopAndBottom/>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7530192D">
      <w:pPr>
        <w:spacing w:line="600" w:lineRule="exact"/>
        <w:ind w:firstLine="640" w:firstLineChars="200"/>
        <w:jc w:val="center"/>
        <w:rPr>
          <w:rFonts w:hint="eastAsia" w:ascii="仿宋_GB2312" w:eastAsia="仿宋_GB2312"/>
          <w:color w:val="auto"/>
          <w:sz w:val="32"/>
          <w:szCs w:val="32"/>
          <w:highlight w:val="none"/>
          <w:lang w:eastAsia="zh-CN"/>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14:paraId="46821A1B">
      <w:pPr>
        <w:pStyle w:val="25"/>
        <w:numPr>
          <w:ilvl w:val="0"/>
          <w:numId w:val="0"/>
        </w:numPr>
        <w:spacing w:line="600" w:lineRule="exact"/>
        <w:ind w:left="640" w:leftChars="0"/>
        <w:outlineLvl w:val="1"/>
        <w:rPr>
          <w:rStyle w:val="21"/>
          <w:rFonts w:ascii="黑体" w:hAnsi="黑体" w:eastAsia="黑体"/>
          <w:b w:val="0"/>
          <w:color w:val="auto"/>
          <w:highlight w:val="none"/>
        </w:rPr>
      </w:pPr>
      <w:bookmarkStart w:id="12" w:name="_Toc15689"/>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入决算情况说明</w:t>
      </w:r>
      <w:bookmarkEnd w:id="12"/>
    </w:p>
    <w:p w14:paraId="433871EC">
      <w:pPr>
        <w:spacing w:line="600" w:lineRule="exact"/>
        <w:ind w:firstLine="640" w:firstLineChars="200"/>
        <w:outlineLvl w:val="1"/>
        <w:rPr>
          <w:rFonts w:hint="default" w:ascii="Times New Roman" w:hAnsi="Times New Roman" w:eastAsia="方正仿宋_GBK" w:cs="Times New Roman"/>
          <w:color w:val="auto"/>
          <w:sz w:val="32"/>
          <w:szCs w:val="32"/>
          <w:highlight w:val="none"/>
          <w:shd w:val="clear" w:color="auto" w:fill="auto"/>
          <w:lang w:val="en-US" w:eastAsia="zh-CN"/>
        </w:rPr>
      </w:pPr>
      <w:bookmarkStart w:id="13" w:name="_Toc20586"/>
      <w:r>
        <w:rPr>
          <w:rFonts w:hint="default" w:ascii="Times New Roman" w:hAnsi="Times New Roman" w:eastAsia="方正仿宋_GBK" w:cs="Times New Roman"/>
          <w:color w:val="auto"/>
          <w:sz w:val="32"/>
          <w:szCs w:val="32"/>
          <w:highlight w:val="none"/>
          <w:shd w:val="clear" w:color="auto" w:fill="auto"/>
          <w:lang w:eastAsia="zh-CN"/>
        </w:rPr>
        <w:t>202</w:t>
      </w:r>
      <w:r>
        <w:rPr>
          <w:rFonts w:hint="default" w:ascii="Times New Roman" w:hAnsi="Times New Roman" w:eastAsia="方正仿宋_GBK" w:cs="Times New Roman"/>
          <w:color w:val="auto"/>
          <w:sz w:val="32"/>
          <w:szCs w:val="32"/>
          <w:highlight w:val="none"/>
          <w:shd w:val="clear" w:color="auto" w:fill="auto"/>
          <w:lang w:val="en-US" w:eastAsia="zh-CN"/>
        </w:rPr>
        <w:t>4</w:t>
      </w:r>
      <w:r>
        <w:rPr>
          <w:rFonts w:hint="default" w:ascii="Times New Roman" w:hAnsi="Times New Roman" w:eastAsia="方正仿宋_GBK" w:cs="Times New Roman"/>
          <w:color w:val="auto"/>
          <w:sz w:val="32"/>
          <w:szCs w:val="32"/>
          <w:highlight w:val="none"/>
          <w:shd w:val="clear" w:color="auto" w:fill="auto"/>
        </w:rPr>
        <w:t>年</w:t>
      </w:r>
      <w:r>
        <w:rPr>
          <w:rFonts w:hint="default" w:ascii="Times New Roman" w:hAnsi="Times New Roman" w:eastAsia="方正仿宋_GBK" w:cs="Times New Roman"/>
          <w:color w:val="auto"/>
          <w:sz w:val="32"/>
          <w:szCs w:val="32"/>
          <w:highlight w:val="none"/>
          <w:shd w:val="clear" w:color="auto" w:fill="auto"/>
          <w:lang w:eastAsia="zh-CN"/>
        </w:rPr>
        <w:t>度</w:t>
      </w:r>
      <w:r>
        <w:rPr>
          <w:rFonts w:hint="default" w:ascii="Times New Roman" w:hAnsi="Times New Roman" w:eastAsia="方正仿宋_GBK" w:cs="Times New Roman"/>
          <w:color w:val="auto"/>
          <w:sz w:val="32"/>
          <w:szCs w:val="32"/>
          <w:highlight w:val="none"/>
          <w:shd w:val="clear" w:color="auto" w:fill="auto"/>
        </w:rPr>
        <w:t>本年收入合计</w:t>
      </w:r>
      <w:r>
        <w:rPr>
          <w:rFonts w:hint="default" w:ascii="Times New Roman" w:hAnsi="Times New Roman" w:eastAsia="方正仿宋_GBK" w:cs="Times New Roman"/>
          <w:b w:val="0"/>
          <w:bCs w:val="0"/>
          <w:color w:val="auto"/>
          <w:sz w:val="32"/>
          <w:szCs w:val="32"/>
          <w:highlight w:val="none"/>
          <w:shd w:val="clear" w:color="auto" w:fill="auto"/>
          <w:lang w:val="en-US" w:eastAsia="zh-CN"/>
        </w:rPr>
        <w:t>4,186.03</w:t>
      </w:r>
      <w:r>
        <w:rPr>
          <w:rFonts w:hint="default" w:ascii="Times New Roman" w:hAnsi="Times New Roman" w:eastAsia="方正仿宋_GBK" w:cs="Times New Roman"/>
          <w:color w:val="auto"/>
          <w:sz w:val="32"/>
          <w:szCs w:val="32"/>
          <w:highlight w:val="none"/>
          <w:shd w:val="clear" w:color="auto" w:fill="auto"/>
        </w:rPr>
        <w:t>万元，其中：一般公共预算财政拨款收入</w:t>
      </w:r>
      <w:r>
        <w:rPr>
          <w:rFonts w:hint="default" w:ascii="Times New Roman" w:hAnsi="Times New Roman" w:eastAsia="方正仿宋_GBK" w:cs="Times New Roman"/>
          <w:b w:val="0"/>
          <w:bCs w:val="0"/>
          <w:color w:val="auto"/>
          <w:sz w:val="32"/>
          <w:szCs w:val="32"/>
          <w:highlight w:val="none"/>
          <w:shd w:val="clear" w:color="auto" w:fill="auto"/>
          <w:lang w:val="en-US" w:eastAsia="zh-CN"/>
        </w:rPr>
        <w:t>4,186.03</w:t>
      </w:r>
      <w:r>
        <w:rPr>
          <w:rFonts w:hint="default" w:ascii="Times New Roman" w:hAnsi="Times New Roman" w:eastAsia="方正仿宋_GBK" w:cs="Times New Roman"/>
          <w:b w:val="0"/>
          <w:bCs w:val="0"/>
          <w:color w:val="auto"/>
          <w:sz w:val="32"/>
          <w:szCs w:val="32"/>
          <w:highlight w:val="none"/>
          <w:shd w:val="clear" w:color="auto" w:fill="auto"/>
        </w:rPr>
        <w:t>万元，占</w:t>
      </w:r>
      <w:r>
        <w:rPr>
          <w:rFonts w:hint="default" w:ascii="Times New Roman" w:hAnsi="Times New Roman" w:eastAsia="方正仿宋_GBK" w:cs="Times New Roman"/>
          <w:b w:val="0"/>
          <w:bCs w:val="0"/>
          <w:color w:val="auto"/>
          <w:sz w:val="32"/>
          <w:szCs w:val="32"/>
          <w:highlight w:val="none"/>
          <w:shd w:val="clear" w:color="auto" w:fill="auto"/>
          <w:lang w:val="en-US" w:eastAsia="zh-CN"/>
        </w:rPr>
        <w:t>100</w:t>
      </w:r>
      <w:r>
        <w:rPr>
          <w:rFonts w:hint="default" w:ascii="Times New Roman" w:hAnsi="Times New Roman" w:eastAsia="方正仿宋_GBK" w:cs="Times New Roman"/>
          <w:b w:val="0"/>
          <w:bCs w:val="0"/>
          <w:color w:val="auto"/>
          <w:sz w:val="32"/>
          <w:szCs w:val="32"/>
          <w:highlight w:val="none"/>
          <w:shd w:val="clear" w:color="auto" w:fill="auto"/>
        </w:rPr>
        <w:t>%</w:t>
      </w:r>
      <w:r>
        <w:rPr>
          <w:rFonts w:hint="default" w:ascii="Times New Roman" w:hAnsi="Times New Roman" w:eastAsia="方正仿宋_GBK" w:cs="Times New Roman"/>
          <w:color w:val="auto"/>
          <w:sz w:val="32"/>
          <w:szCs w:val="32"/>
          <w:highlight w:val="none"/>
          <w:shd w:val="clear" w:color="auto" w:fill="auto"/>
          <w:lang w:eastAsia="zh-CN"/>
        </w:rPr>
        <w:t>。</w:t>
      </w:r>
      <w:bookmarkEnd w:id="13"/>
    </w:p>
    <w:p w14:paraId="651D747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shd w:val="clear" w:color="auto" w:fill="auto"/>
          <w:lang w:eastAsia="zh-CN"/>
        </w:rPr>
        <w:drawing>
          <wp:anchor distT="0" distB="0" distL="114300" distR="114300" simplePos="0" relativeHeight="251660288" behindDoc="0" locked="0" layoutInCell="1" allowOverlap="1">
            <wp:simplePos x="0" y="0"/>
            <wp:positionH relativeFrom="column">
              <wp:posOffset>580390</wp:posOffset>
            </wp:positionH>
            <wp:positionV relativeFrom="line">
              <wp:posOffset>99695</wp:posOffset>
            </wp:positionV>
            <wp:extent cx="4057015" cy="1766570"/>
            <wp:effectExtent l="5080" t="4445" r="14605" b="19685"/>
            <wp:wrapTopAndBottom/>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default" w:ascii="Times New Roman" w:hAnsi="Times New Roman" w:eastAsia="方正仿宋_GBK" w:cs="Times New Roman"/>
          <w:shd w:val="clear" w:color="auto" w:fill="auto"/>
          <w:lang w:val="en-US" w:eastAsia="zh-CN"/>
        </w:rPr>
        <w:t xml:space="preserve">  </w:t>
      </w:r>
      <w:r>
        <w:rPr>
          <w:rFonts w:hint="default" w:ascii="Times New Roman" w:hAnsi="Times New Roman" w:eastAsia="方正仿宋_GBK" w:cs="Times New Roman"/>
          <w:color w:val="auto"/>
          <w:sz w:val="32"/>
          <w:szCs w:val="32"/>
          <w:highlight w:val="none"/>
          <w:shd w:val="clear" w:color="auto" w:fill="auto"/>
        </w:rPr>
        <w:t>（图2：收入决算结构图）</w:t>
      </w:r>
    </w:p>
    <w:p w14:paraId="6DACBB63">
      <w:pPr>
        <w:pStyle w:val="18"/>
      </w:pPr>
    </w:p>
    <w:p w14:paraId="56683C71">
      <w:pPr>
        <w:pStyle w:val="25"/>
        <w:numPr>
          <w:ilvl w:val="0"/>
          <w:numId w:val="0"/>
        </w:numPr>
        <w:spacing w:line="600" w:lineRule="exact"/>
        <w:ind w:left="640" w:leftChars="0"/>
        <w:outlineLvl w:val="1"/>
        <w:rPr>
          <w:rStyle w:val="21"/>
          <w:rFonts w:ascii="黑体" w:hAnsi="黑体" w:eastAsia="黑体"/>
          <w:b w:val="0"/>
          <w:color w:val="auto"/>
          <w:highlight w:val="none"/>
        </w:rPr>
      </w:pPr>
      <w:bookmarkStart w:id="14" w:name="_Toc11402"/>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1"/>
          <w:rFonts w:hint="eastAsia" w:ascii="黑体" w:hAnsi="黑体" w:eastAsia="黑体"/>
          <w:b w:val="0"/>
          <w:color w:val="auto"/>
          <w:highlight w:val="none"/>
        </w:rPr>
        <w:t>出决算情况说明</w:t>
      </w:r>
      <w:bookmarkEnd w:id="14"/>
    </w:p>
    <w:p w14:paraId="2EAFA0D2">
      <w:pPr>
        <w:spacing w:line="600" w:lineRule="exact"/>
        <w:ind w:firstLine="640" w:firstLineChars="200"/>
        <w:outlineLvl w:val="1"/>
        <w:rPr>
          <w:rFonts w:hint="default" w:ascii="Times New Roman" w:hAnsi="Times New Roman" w:eastAsia="仿宋" w:cs="Times New Roman"/>
          <w:b w:val="0"/>
          <w:bCs w:val="0"/>
          <w:color w:val="auto"/>
          <w:sz w:val="32"/>
          <w:szCs w:val="32"/>
          <w:highlight w:val="none"/>
          <w:lang w:eastAsia="zh-CN"/>
        </w:rPr>
      </w:pPr>
      <w:bookmarkStart w:id="15" w:name="_Toc9106"/>
      <w:r>
        <w:rPr>
          <w:rFonts w:hint="default" w:ascii="Times New Roman" w:hAnsi="Times New Roman" w:eastAsia="仿宋" w:cs="Times New Roman"/>
          <w:b w:val="0"/>
          <w:bCs w:val="0"/>
          <w:color w:val="auto"/>
          <w:sz w:val="32"/>
          <w:szCs w:val="32"/>
          <w:highlight w:val="none"/>
          <w:lang w:eastAsia="zh-CN"/>
        </w:rPr>
        <w:t>202</w:t>
      </w:r>
      <w:r>
        <w:rPr>
          <w:rFonts w:hint="eastAsia" w:ascii="Times New Roman" w:hAnsi="Times New Roman" w:eastAsia="仿宋" w:cs="Times New Roman"/>
          <w:b w:val="0"/>
          <w:bCs w:val="0"/>
          <w:color w:val="auto"/>
          <w:sz w:val="32"/>
          <w:szCs w:val="32"/>
          <w:highlight w:val="none"/>
          <w:lang w:val="en-US" w:eastAsia="zh-CN"/>
        </w:rPr>
        <w:t>4</w:t>
      </w:r>
      <w:r>
        <w:rPr>
          <w:rFonts w:hint="default" w:ascii="Times New Roman" w:hAnsi="Times New Roman" w:eastAsia="仿宋" w:cs="Times New Roman"/>
          <w:b w:val="0"/>
          <w:bCs w:val="0"/>
          <w:color w:val="auto"/>
          <w:sz w:val="32"/>
          <w:szCs w:val="32"/>
          <w:highlight w:val="none"/>
        </w:rPr>
        <w:t>年</w:t>
      </w:r>
      <w:r>
        <w:rPr>
          <w:rFonts w:hint="default" w:ascii="Times New Roman" w:hAnsi="Times New Roman" w:eastAsia="仿宋" w:cs="Times New Roman"/>
          <w:b w:val="0"/>
          <w:bCs w:val="0"/>
          <w:color w:val="auto"/>
          <w:sz w:val="32"/>
          <w:szCs w:val="32"/>
          <w:highlight w:val="none"/>
          <w:lang w:eastAsia="zh-CN"/>
        </w:rPr>
        <w:t>度</w:t>
      </w:r>
      <w:r>
        <w:rPr>
          <w:rFonts w:hint="default" w:ascii="Times New Roman" w:hAnsi="Times New Roman" w:eastAsia="仿宋" w:cs="Times New Roman"/>
          <w:b w:val="0"/>
          <w:bCs w:val="0"/>
          <w:color w:val="auto"/>
          <w:sz w:val="32"/>
          <w:szCs w:val="32"/>
          <w:highlight w:val="none"/>
        </w:rPr>
        <w:t>本年支出合计</w:t>
      </w:r>
      <w:r>
        <w:rPr>
          <w:rFonts w:hint="default" w:ascii="Times New Roman" w:hAnsi="Times New Roman" w:eastAsia="仿宋" w:cs="Times New Roman"/>
          <w:b w:val="0"/>
          <w:bCs w:val="0"/>
          <w:color w:val="auto"/>
          <w:sz w:val="32"/>
          <w:szCs w:val="32"/>
          <w:highlight w:val="none"/>
          <w:lang w:val="en-US" w:eastAsia="zh-CN"/>
        </w:rPr>
        <w:t>4,</w:t>
      </w:r>
      <w:r>
        <w:rPr>
          <w:rFonts w:hint="eastAsia" w:ascii="Times New Roman" w:hAnsi="Times New Roman" w:eastAsia="仿宋" w:cs="Times New Roman"/>
          <w:b w:val="0"/>
          <w:bCs w:val="0"/>
          <w:color w:val="auto"/>
          <w:sz w:val="32"/>
          <w:szCs w:val="32"/>
          <w:highlight w:val="none"/>
          <w:lang w:val="en-US" w:eastAsia="zh-CN"/>
        </w:rPr>
        <w:t>186.03</w:t>
      </w:r>
      <w:r>
        <w:rPr>
          <w:rFonts w:hint="default" w:ascii="Times New Roman" w:hAnsi="Times New Roman" w:eastAsia="仿宋" w:cs="Times New Roman"/>
          <w:b w:val="0"/>
          <w:bCs w:val="0"/>
          <w:color w:val="auto"/>
          <w:sz w:val="32"/>
          <w:szCs w:val="32"/>
          <w:highlight w:val="none"/>
        </w:rPr>
        <w:t>万元，其中：基本支出</w:t>
      </w:r>
      <w:r>
        <w:rPr>
          <w:rFonts w:hint="default" w:ascii="Times New Roman" w:hAnsi="Times New Roman" w:eastAsia="仿宋" w:cs="Times New Roman"/>
          <w:b w:val="0"/>
          <w:bCs w:val="0"/>
          <w:color w:val="auto"/>
          <w:sz w:val="32"/>
          <w:szCs w:val="32"/>
          <w:highlight w:val="none"/>
          <w:lang w:val="en-US" w:eastAsia="zh-CN"/>
        </w:rPr>
        <w:t>3,</w:t>
      </w:r>
      <w:r>
        <w:rPr>
          <w:rFonts w:hint="eastAsia" w:ascii="Times New Roman" w:hAnsi="Times New Roman" w:eastAsia="仿宋" w:cs="Times New Roman"/>
          <w:b w:val="0"/>
          <w:bCs w:val="0"/>
          <w:color w:val="auto"/>
          <w:sz w:val="32"/>
          <w:szCs w:val="32"/>
          <w:highlight w:val="none"/>
          <w:lang w:val="en-US" w:eastAsia="zh-CN"/>
        </w:rPr>
        <w:t>697.36</w:t>
      </w:r>
      <w:r>
        <w:rPr>
          <w:rFonts w:hint="default" w:ascii="Times New Roman" w:hAnsi="Times New Roman" w:eastAsia="仿宋" w:cs="Times New Roman"/>
          <w:b w:val="0"/>
          <w:bCs w:val="0"/>
          <w:color w:val="auto"/>
          <w:sz w:val="32"/>
          <w:szCs w:val="32"/>
          <w:highlight w:val="none"/>
        </w:rPr>
        <w:t>万元，占</w:t>
      </w:r>
      <w:r>
        <w:rPr>
          <w:rFonts w:hint="eastAsia" w:ascii="Times New Roman" w:hAnsi="Times New Roman" w:eastAsia="仿宋" w:cs="Times New Roman"/>
          <w:b w:val="0"/>
          <w:bCs w:val="0"/>
          <w:color w:val="auto"/>
          <w:sz w:val="32"/>
          <w:szCs w:val="32"/>
          <w:highlight w:val="none"/>
          <w:lang w:val="en-US" w:eastAsia="zh-CN"/>
        </w:rPr>
        <w:t>88.33</w:t>
      </w:r>
      <w:r>
        <w:rPr>
          <w:rFonts w:hint="default" w:ascii="Times New Roman" w:hAnsi="Times New Roman" w:eastAsia="仿宋" w:cs="Times New Roman"/>
          <w:b w:val="0"/>
          <w:bCs w:val="0"/>
          <w:color w:val="auto"/>
          <w:sz w:val="32"/>
          <w:szCs w:val="32"/>
          <w:highlight w:val="none"/>
        </w:rPr>
        <w:t>%；项目支出</w:t>
      </w:r>
      <w:r>
        <w:rPr>
          <w:rFonts w:hint="eastAsia" w:ascii="Times New Roman" w:hAnsi="Times New Roman" w:eastAsia="仿宋" w:cs="Times New Roman"/>
          <w:b w:val="0"/>
          <w:bCs w:val="0"/>
          <w:color w:val="auto"/>
          <w:sz w:val="32"/>
          <w:szCs w:val="32"/>
          <w:highlight w:val="none"/>
          <w:lang w:val="en-US" w:eastAsia="zh-CN"/>
        </w:rPr>
        <w:t>488.67</w:t>
      </w:r>
      <w:r>
        <w:rPr>
          <w:rFonts w:hint="default" w:ascii="Times New Roman" w:hAnsi="Times New Roman" w:eastAsia="仿宋" w:cs="Times New Roman"/>
          <w:b w:val="0"/>
          <w:bCs w:val="0"/>
          <w:color w:val="auto"/>
          <w:sz w:val="32"/>
          <w:szCs w:val="32"/>
          <w:highlight w:val="none"/>
        </w:rPr>
        <w:t>万元，占</w:t>
      </w:r>
      <w:r>
        <w:rPr>
          <w:rFonts w:hint="eastAsia" w:ascii="Times New Roman" w:hAnsi="Times New Roman" w:eastAsia="仿宋" w:cs="Times New Roman"/>
          <w:b w:val="0"/>
          <w:bCs w:val="0"/>
          <w:color w:val="auto"/>
          <w:sz w:val="32"/>
          <w:szCs w:val="32"/>
          <w:highlight w:val="none"/>
          <w:lang w:val="en-US" w:eastAsia="zh-CN"/>
        </w:rPr>
        <w:t>11.67</w:t>
      </w:r>
      <w:r>
        <w:rPr>
          <w:rFonts w:hint="default" w:ascii="Times New Roman" w:hAnsi="Times New Roman" w:eastAsia="仿宋" w:cs="Times New Roman"/>
          <w:b w:val="0"/>
          <w:bCs w:val="0"/>
          <w:color w:val="auto"/>
          <w:sz w:val="32"/>
          <w:szCs w:val="32"/>
          <w:highlight w:val="none"/>
        </w:rPr>
        <w:t>%</w:t>
      </w:r>
      <w:r>
        <w:rPr>
          <w:rFonts w:hint="default" w:ascii="Times New Roman" w:hAnsi="Times New Roman" w:eastAsia="仿宋" w:cs="Times New Roman"/>
          <w:b w:val="0"/>
          <w:bCs w:val="0"/>
          <w:color w:val="auto"/>
          <w:sz w:val="32"/>
          <w:szCs w:val="32"/>
          <w:highlight w:val="none"/>
          <w:lang w:eastAsia="zh-CN"/>
        </w:rPr>
        <w:t>。</w:t>
      </w:r>
      <w:bookmarkEnd w:id="15"/>
    </w:p>
    <w:p w14:paraId="3519EB4E">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ascii="仿宋" w:hAnsi="仿宋" w:eastAsia="仿宋"/>
          <w:color w:val="auto"/>
          <w:sz w:val="32"/>
          <w:szCs w:val="32"/>
          <w:highlight w:val="none"/>
          <w:shd w:val="pct10" w:color="auto" w:fill="FFFFFF"/>
        </w:rPr>
      </w:pPr>
      <w:r>
        <w:rPr>
          <w:rFonts w:hint="eastAsia" w:ascii="仿宋_GB2312" w:eastAsia="仿宋_GB2312"/>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376555</wp:posOffset>
            </wp:positionH>
            <wp:positionV relativeFrom="line">
              <wp:posOffset>160020</wp:posOffset>
            </wp:positionV>
            <wp:extent cx="4470400" cy="2000250"/>
            <wp:effectExtent l="5080" t="4445" r="20320" b="14605"/>
            <wp:wrapTopAndBottom/>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36A6FB7">
      <w:pPr>
        <w:spacing w:line="600" w:lineRule="exact"/>
        <w:ind w:firstLine="640" w:firstLineChars="200"/>
        <w:jc w:val="center"/>
        <w:rPr>
          <w:rFonts w:hint="eastAsia" w:ascii="仿宋_GB2312" w:eastAsia="仿宋_GB2312"/>
          <w:color w:val="auto"/>
          <w:sz w:val="32"/>
          <w:szCs w:val="32"/>
          <w:highlight w:val="none"/>
          <w:lang w:eastAsia="zh-CN"/>
        </w:rPr>
      </w:pPr>
      <w:r>
        <w:rPr>
          <w:rFonts w:hint="eastAsia" w:ascii="仿宋" w:hAnsi="仿宋" w:eastAsia="仿宋"/>
          <w:color w:val="auto"/>
          <w:sz w:val="32"/>
          <w:szCs w:val="32"/>
          <w:highlight w:val="none"/>
        </w:rPr>
        <w:t>（图3：支出决算结构图）</w:t>
      </w:r>
    </w:p>
    <w:p w14:paraId="6E5E57BE">
      <w:pPr>
        <w:spacing w:line="600" w:lineRule="exact"/>
        <w:ind w:firstLine="640" w:firstLineChars="200"/>
        <w:outlineLvl w:val="1"/>
        <w:rPr>
          <w:rStyle w:val="21"/>
          <w:rFonts w:ascii="黑体" w:hAnsi="黑体" w:eastAsia="黑体"/>
          <w:b w:val="0"/>
          <w:color w:val="auto"/>
          <w:highlight w:val="none"/>
        </w:rPr>
      </w:pPr>
      <w:bookmarkStart w:id="16" w:name="_Toc30830"/>
      <w:r>
        <w:rPr>
          <w:rFonts w:hint="eastAsia" w:ascii="黑体" w:hAnsi="黑体" w:eastAsia="黑体"/>
          <w:color w:val="auto"/>
          <w:sz w:val="32"/>
          <w:szCs w:val="32"/>
          <w:highlight w:val="none"/>
        </w:rPr>
        <w:t>四、财</w:t>
      </w:r>
      <w:r>
        <w:rPr>
          <w:rStyle w:val="21"/>
          <w:rFonts w:hint="eastAsia" w:ascii="黑体" w:hAnsi="黑体" w:eastAsia="黑体"/>
          <w:b w:val="0"/>
          <w:color w:val="auto"/>
          <w:highlight w:val="none"/>
        </w:rPr>
        <w:t>政拨款收入支出决算总体情况说明</w:t>
      </w:r>
      <w:bookmarkEnd w:id="16"/>
    </w:p>
    <w:p w14:paraId="4D422A97">
      <w:pPr>
        <w:spacing w:line="600" w:lineRule="exact"/>
        <w:ind w:firstLine="640" w:firstLineChars="200"/>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eastAsia="zh-CN"/>
        </w:rPr>
        <w:t>202</w:t>
      </w:r>
      <w:r>
        <w:rPr>
          <w:rFonts w:hint="eastAsia" w:ascii="Times New Roman" w:hAnsi="Times New Roman" w:eastAsia="仿宋" w:cs="Times New Roman"/>
          <w:b w:val="0"/>
          <w:bCs w:val="0"/>
          <w:color w:val="auto"/>
          <w:sz w:val="32"/>
          <w:szCs w:val="32"/>
          <w:highlight w:val="none"/>
          <w:lang w:val="en-US" w:eastAsia="zh-CN"/>
        </w:rPr>
        <w:t>4</w:t>
      </w:r>
      <w:r>
        <w:rPr>
          <w:rFonts w:hint="default" w:ascii="Times New Roman" w:hAnsi="Times New Roman" w:eastAsia="仿宋" w:cs="Times New Roman"/>
          <w:b w:val="0"/>
          <w:bCs w:val="0"/>
          <w:color w:val="auto"/>
          <w:sz w:val="32"/>
          <w:szCs w:val="32"/>
          <w:highlight w:val="none"/>
        </w:rPr>
        <w:t>年</w:t>
      </w:r>
      <w:r>
        <w:rPr>
          <w:rFonts w:hint="default" w:ascii="Times New Roman" w:hAnsi="Times New Roman" w:eastAsia="仿宋" w:cs="Times New Roman"/>
          <w:b w:val="0"/>
          <w:bCs w:val="0"/>
          <w:color w:val="auto"/>
          <w:sz w:val="32"/>
          <w:szCs w:val="32"/>
          <w:highlight w:val="none"/>
          <w:lang w:eastAsia="zh-CN"/>
        </w:rPr>
        <w:t>度</w:t>
      </w:r>
      <w:r>
        <w:rPr>
          <w:rFonts w:hint="default" w:ascii="Times New Roman" w:hAnsi="Times New Roman" w:eastAsia="仿宋" w:cs="Times New Roman"/>
          <w:b w:val="0"/>
          <w:bCs w:val="0"/>
          <w:color w:val="auto"/>
          <w:sz w:val="32"/>
          <w:szCs w:val="32"/>
          <w:highlight w:val="none"/>
        </w:rPr>
        <w:t>财政拨款收</w:t>
      </w:r>
      <w:r>
        <w:rPr>
          <w:rFonts w:hint="default" w:ascii="Times New Roman" w:hAnsi="Times New Roman" w:eastAsia="仿宋" w:cs="Times New Roman"/>
          <w:b w:val="0"/>
          <w:bCs w:val="0"/>
          <w:color w:val="auto"/>
          <w:sz w:val="32"/>
          <w:szCs w:val="32"/>
          <w:highlight w:val="none"/>
          <w:lang w:val="en-US" w:eastAsia="zh-CN"/>
        </w:rPr>
        <w:t>入</w:t>
      </w:r>
      <w:r>
        <w:rPr>
          <w:rFonts w:hint="default" w:ascii="Times New Roman" w:hAnsi="Times New Roman" w:eastAsia="仿宋" w:cs="Times New Roman"/>
          <w:b w:val="0"/>
          <w:bCs w:val="0"/>
          <w:color w:val="auto"/>
          <w:sz w:val="32"/>
          <w:szCs w:val="32"/>
          <w:highlight w:val="none"/>
          <w:lang w:eastAsia="zh-CN"/>
        </w:rPr>
        <w:t>为</w:t>
      </w:r>
      <w:r>
        <w:rPr>
          <w:rFonts w:hint="default" w:ascii="Times New Roman" w:hAnsi="Times New Roman" w:eastAsia="仿宋" w:cs="Times New Roman"/>
          <w:b w:val="0"/>
          <w:bCs w:val="0"/>
          <w:color w:val="auto"/>
          <w:sz w:val="32"/>
          <w:szCs w:val="32"/>
          <w:highlight w:val="none"/>
          <w:lang w:val="en-US" w:eastAsia="zh-CN"/>
        </w:rPr>
        <w:t>4,186.03</w:t>
      </w:r>
      <w:r>
        <w:rPr>
          <w:rFonts w:hint="default" w:ascii="Times New Roman" w:hAnsi="Times New Roman" w:eastAsia="仿宋" w:cs="Times New Roman"/>
          <w:b w:val="0"/>
          <w:bCs w:val="0"/>
          <w:color w:val="auto"/>
          <w:sz w:val="32"/>
          <w:szCs w:val="32"/>
          <w:highlight w:val="none"/>
        </w:rPr>
        <w:t>万元</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支出</w:t>
      </w:r>
      <w:r>
        <w:rPr>
          <w:rFonts w:hint="default" w:ascii="Times New Roman" w:hAnsi="Times New Roman" w:eastAsia="仿宋" w:cs="Times New Roman"/>
          <w:b w:val="0"/>
          <w:bCs w:val="0"/>
          <w:color w:val="auto"/>
          <w:sz w:val="32"/>
          <w:szCs w:val="32"/>
          <w:highlight w:val="none"/>
          <w:lang w:eastAsia="zh-CN"/>
        </w:rPr>
        <w:t>为</w:t>
      </w:r>
      <w:r>
        <w:rPr>
          <w:rFonts w:hint="default" w:ascii="Times New Roman" w:hAnsi="Times New Roman" w:eastAsia="仿宋" w:cs="Times New Roman"/>
          <w:b w:val="0"/>
          <w:bCs w:val="0"/>
          <w:color w:val="auto"/>
          <w:sz w:val="32"/>
          <w:szCs w:val="32"/>
          <w:highlight w:val="none"/>
          <w:lang w:val="en-US" w:eastAsia="zh-CN"/>
        </w:rPr>
        <w:t>4,186.03</w:t>
      </w:r>
      <w:r>
        <w:rPr>
          <w:rFonts w:hint="default" w:ascii="Times New Roman" w:hAnsi="Times New Roman" w:eastAsia="仿宋" w:cs="Times New Roman"/>
          <w:b w:val="0"/>
          <w:bCs w:val="0"/>
          <w:color w:val="auto"/>
          <w:sz w:val="32"/>
          <w:szCs w:val="32"/>
          <w:highlight w:val="none"/>
        </w:rPr>
        <w:t>万元</w:t>
      </w:r>
      <w:r>
        <w:rPr>
          <w:rFonts w:hint="default" w:ascii="Times New Roman" w:hAnsi="Times New Roman" w:eastAsia="仿宋" w:cs="Times New Roman"/>
          <w:b w:val="0"/>
          <w:bCs w:val="0"/>
          <w:color w:val="auto"/>
          <w:sz w:val="32"/>
          <w:szCs w:val="32"/>
          <w:highlight w:val="none"/>
          <w:lang w:val="en-US" w:eastAsia="zh-CN"/>
        </w:rPr>
        <w:t>。</w:t>
      </w:r>
      <w:r>
        <w:rPr>
          <w:rFonts w:hint="default" w:ascii="Times New Roman" w:hAnsi="Times New Roman" w:eastAsia="仿宋" w:cs="Times New Roman"/>
          <w:b w:val="0"/>
          <w:bCs w:val="0"/>
          <w:color w:val="auto"/>
          <w:sz w:val="32"/>
          <w:szCs w:val="32"/>
          <w:highlight w:val="none"/>
        </w:rPr>
        <w:t>与</w:t>
      </w:r>
      <w:r>
        <w:rPr>
          <w:rFonts w:hint="default" w:ascii="Times New Roman" w:hAnsi="Times New Roman" w:eastAsia="仿宋" w:cs="Times New Roman"/>
          <w:b w:val="0"/>
          <w:bCs w:val="0"/>
          <w:color w:val="auto"/>
          <w:sz w:val="32"/>
          <w:szCs w:val="32"/>
          <w:highlight w:val="none"/>
          <w:lang w:eastAsia="zh-CN"/>
        </w:rPr>
        <w:t>202</w:t>
      </w:r>
      <w:r>
        <w:rPr>
          <w:rFonts w:hint="default" w:ascii="Times New Roman" w:hAnsi="Times New Roman" w:eastAsia="仿宋" w:cs="Times New Roman"/>
          <w:b w:val="0"/>
          <w:bCs w:val="0"/>
          <w:color w:val="auto"/>
          <w:sz w:val="32"/>
          <w:szCs w:val="32"/>
          <w:highlight w:val="none"/>
          <w:lang w:val="en-US" w:eastAsia="zh-CN"/>
        </w:rPr>
        <w:t>3</w:t>
      </w:r>
      <w:r>
        <w:rPr>
          <w:rFonts w:hint="default" w:ascii="Times New Roman" w:hAnsi="Times New Roman" w:eastAsia="仿宋" w:cs="Times New Roman"/>
          <w:b w:val="0"/>
          <w:bCs w:val="0"/>
          <w:color w:val="auto"/>
          <w:sz w:val="32"/>
          <w:szCs w:val="32"/>
          <w:highlight w:val="none"/>
        </w:rPr>
        <w:t>年</w:t>
      </w:r>
      <w:r>
        <w:rPr>
          <w:rFonts w:hint="default" w:ascii="Times New Roman" w:hAnsi="Times New Roman" w:eastAsia="仿宋" w:cs="Times New Roman"/>
          <w:b w:val="0"/>
          <w:bCs w:val="0"/>
          <w:color w:val="auto"/>
          <w:sz w:val="32"/>
          <w:szCs w:val="32"/>
          <w:highlight w:val="none"/>
          <w:lang w:eastAsia="zh-CN"/>
        </w:rPr>
        <w:t>度</w:t>
      </w:r>
      <w:r>
        <w:rPr>
          <w:rFonts w:hint="default" w:ascii="Times New Roman" w:hAnsi="Times New Roman" w:eastAsia="仿宋" w:cs="Times New Roman"/>
          <w:b w:val="0"/>
          <w:bCs w:val="0"/>
          <w:color w:val="auto"/>
          <w:sz w:val="32"/>
          <w:szCs w:val="32"/>
          <w:highlight w:val="none"/>
        </w:rPr>
        <w:t>相比</w:t>
      </w:r>
      <w:r>
        <w:rPr>
          <w:rFonts w:hint="default" w:ascii="Times New Roman" w:hAnsi="Times New Roman" w:eastAsia="仿宋" w:cs="Times New Roman"/>
          <w:b w:val="0"/>
          <w:bCs w:val="0"/>
          <w:color w:val="auto"/>
          <w:sz w:val="32"/>
          <w:szCs w:val="32"/>
          <w:highlight w:val="none"/>
          <w:lang w:val="en-US" w:eastAsia="zh-CN"/>
        </w:rPr>
        <w:t>收、支总计各增加107.38万元，增加2.63%。</w:t>
      </w:r>
      <w:r>
        <w:rPr>
          <w:rFonts w:hint="default" w:ascii="Times New Roman" w:hAnsi="Times New Roman" w:eastAsia="仿宋" w:cs="Times New Roman"/>
          <w:b w:val="0"/>
          <w:bCs w:val="0"/>
          <w:color w:val="auto"/>
          <w:sz w:val="32"/>
          <w:szCs w:val="32"/>
          <w:highlight w:val="none"/>
          <w:lang w:eastAsia="zh-CN"/>
        </w:rPr>
        <w:t>主要变动原因是</w:t>
      </w:r>
      <w:r>
        <w:rPr>
          <w:rFonts w:hint="default" w:ascii="Times New Roman" w:hAnsi="Times New Roman" w:eastAsia="仿宋_GB2312" w:cs="Times New Roman"/>
          <w:b w:val="0"/>
          <w:bCs w:val="0"/>
          <w:color w:val="000000"/>
          <w:sz w:val="32"/>
          <w:szCs w:val="32"/>
        </w:rPr>
        <w:t>为</w:t>
      </w:r>
      <w:r>
        <w:rPr>
          <w:rFonts w:hint="default" w:ascii="Times New Roman" w:hAnsi="Times New Roman" w:eastAsia="方正仿宋_GBK" w:cs="Times New Roman"/>
          <w:b w:val="0"/>
          <w:bCs w:val="0"/>
          <w:color w:val="000000"/>
          <w:sz w:val="32"/>
          <w:szCs w:val="32"/>
          <w:lang w:val="en-US" w:eastAsia="zh-CN"/>
        </w:rPr>
        <w:t>政策调资，</w:t>
      </w:r>
      <w:r>
        <w:rPr>
          <w:rFonts w:hint="default" w:ascii="Times New Roman" w:hAnsi="Times New Roman" w:eastAsia="方正仿宋_GBK" w:cs="Times New Roman"/>
          <w:b w:val="0"/>
          <w:bCs w:val="0"/>
          <w:spacing w:val="11"/>
          <w:sz w:val="32"/>
          <w:lang w:val="en-US" w:eastAsia="zh-CN"/>
        </w:rPr>
        <w:t>新调入5名领导干部，组织开展州委安排的联心同行和托底帮扶等相关工作、省人大安排</w:t>
      </w:r>
      <w:r>
        <w:rPr>
          <w:rFonts w:hint="default" w:ascii="Times New Roman" w:hAnsi="Times New Roman" w:eastAsia="方正仿宋_GBK" w:cs="Times New Roman"/>
          <w:b w:val="0"/>
          <w:bCs w:val="0"/>
          <w:kern w:val="2"/>
          <w:sz w:val="32"/>
          <w:szCs w:val="32"/>
          <w:vertAlign w:val="baseline"/>
        </w:rPr>
        <w:t>全国</w:t>
      </w:r>
      <w:r>
        <w:rPr>
          <w:rFonts w:hint="default" w:ascii="Times New Roman" w:hAnsi="Times New Roman" w:eastAsia="方正仿宋_GBK" w:cs="Times New Roman"/>
          <w:b w:val="0"/>
          <w:bCs w:val="0"/>
          <w:kern w:val="2"/>
          <w:sz w:val="32"/>
          <w:szCs w:val="32"/>
          <w:vertAlign w:val="baseline"/>
          <w:lang w:val="en-US" w:eastAsia="zh-CN"/>
        </w:rPr>
        <w:t>和</w:t>
      </w:r>
      <w:r>
        <w:rPr>
          <w:rFonts w:hint="default" w:ascii="Times New Roman" w:hAnsi="Times New Roman" w:eastAsia="方正仿宋_GBK" w:cs="Times New Roman"/>
          <w:b w:val="0"/>
          <w:bCs w:val="0"/>
          <w:kern w:val="2"/>
          <w:sz w:val="32"/>
          <w:szCs w:val="32"/>
          <w:vertAlign w:val="baseline"/>
        </w:rPr>
        <w:t>省人大代表</w:t>
      </w:r>
      <w:r>
        <w:rPr>
          <w:rFonts w:hint="default" w:ascii="Times New Roman" w:hAnsi="Times New Roman" w:eastAsia="方正仿宋_GBK" w:cs="Times New Roman"/>
          <w:b w:val="0"/>
          <w:bCs w:val="0"/>
          <w:kern w:val="2"/>
          <w:sz w:val="32"/>
          <w:szCs w:val="32"/>
          <w:vertAlign w:val="baseline"/>
          <w:lang w:val="en-US" w:eastAsia="zh-CN"/>
        </w:rPr>
        <w:t>来州开展</w:t>
      </w:r>
      <w:r>
        <w:rPr>
          <w:rFonts w:hint="default" w:ascii="Times New Roman" w:hAnsi="Times New Roman" w:eastAsia="方正仿宋_GBK" w:cs="Times New Roman"/>
          <w:b w:val="0"/>
          <w:bCs w:val="0"/>
          <w:spacing w:val="11"/>
          <w:sz w:val="32"/>
          <w:lang w:val="en-US" w:eastAsia="zh-CN"/>
        </w:rPr>
        <w:t>执法检查、专题调研、代表视察等工作等工作增加</w:t>
      </w:r>
      <w:r>
        <w:rPr>
          <w:rFonts w:hint="default" w:ascii="Times New Roman" w:hAnsi="Times New Roman" w:eastAsia="仿宋" w:cs="Times New Roman"/>
          <w:b w:val="0"/>
          <w:bCs w:val="0"/>
          <w:color w:val="auto"/>
          <w:sz w:val="32"/>
          <w:szCs w:val="32"/>
          <w:highlight w:val="none"/>
          <w:lang w:eastAsia="zh-CN"/>
        </w:rPr>
        <w:t>。</w:t>
      </w:r>
    </w:p>
    <w:p w14:paraId="1EE8DE2A">
      <w:pPr>
        <w:keepNext w:val="0"/>
        <w:keepLines w:val="0"/>
        <w:pageBreakBefore w:val="0"/>
        <w:widowControl w:val="0"/>
        <w:kinsoku/>
        <w:wordWrap/>
        <w:overflowPunct/>
        <w:topLinePunct w:val="0"/>
        <w:autoSpaceDE/>
        <w:autoSpaceDN/>
        <w:bidi w:val="0"/>
        <w:adjustRightInd/>
        <w:snapToGrid/>
        <w:spacing w:line="240" w:lineRule="auto"/>
        <w:jc w:val="center"/>
        <w:rPr>
          <w:rFonts w:ascii="仿宋" w:hAnsi="仿宋" w:eastAsia="仿宋"/>
          <w:color w:val="auto"/>
          <w:sz w:val="32"/>
          <w:szCs w:val="32"/>
          <w:highlight w:val="none"/>
        </w:rPr>
      </w:pPr>
      <w:r>
        <w:rPr>
          <w:rFonts w:hint="eastAsia" w:ascii="仿宋" w:hAnsi="仿宋" w:eastAsia="仿宋"/>
          <w:b/>
          <w:color w:val="auto"/>
          <w:sz w:val="32"/>
          <w:szCs w:val="32"/>
          <w:highlight w:val="none"/>
          <w:lang w:val="en-US" w:eastAsia="zh-CN"/>
        </w:rPr>
        <w:t xml:space="preserve"> </w:t>
      </w:r>
      <w:r>
        <w:rPr>
          <w:rFonts w:hint="eastAsia" w:ascii="仿宋" w:hAnsi="仿宋" w:eastAsia="仿宋"/>
          <w:b/>
          <w:color w:val="auto"/>
          <w:sz w:val="32"/>
          <w:szCs w:val="32"/>
          <w:highlight w:val="none"/>
          <w:lang w:eastAsia="zh-CN"/>
        </w:rPr>
        <w:drawing>
          <wp:anchor distT="0" distB="0" distL="114300" distR="114300" simplePos="0" relativeHeight="251662336" behindDoc="0" locked="0" layoutInCell="1" allowOverlap="1">
            <wp:simplePos x="0" y="0"/>
            <wp:positionH relativeFrom="column">
              <wp:align>center</wp:align>
            </wp:positionH>
            <wp:positionV relativeFrom="paragraph">
              <wp:posOffset>39370</wp:posOffset>
            </wp:positionV>
            <wp:extent cx="4765675" cy="1970405"/>
            <wp:effectExtent l="4445" t="4445" r="11430" b="6350"/>
            <wp:wrapTopAndBottom/>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034692B">
      <w:pPr>
        <w:spacing w:line="60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14:paraId="5FBB317E">
      <w:pPr>
        <w:pStyle w:val="18"/>
        <w:rPr>
          <w:rFonts w:hint="eastAsia"/>
          <w:lang w:eastAsia="zh-CN"/>
        </w:rPr>
      </w:pPr>
    </w:p>
    <w:p w14:paraId="07BA1F19">
      <w:pPr>
        <w:spacing w:line="600" w:lineRule="exact"/>
        <w:ind w:firstLine="640" w:firstLineChars="200"/>
        <w:outlineLvl w:val="1"/>
        <w:rPr>
          <w:rStyle w:val="21"/>
          <w:rFonts w:ascii="黑体" w:hAnsi="黑体" w:eastAsia="黑体"/>
          <w:b w:val="0"/>
          <w:color w:val="auto"/>
          <w:highlight w:val="none"/>
        </w:rPr>
      </w:pPr>
      <w:bookmarkStart w:id="17" w:name="_Toc30576"/>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般公共预算财政拨款支出决算情况说明</w:t>
      </w:r>
      <w:bookmarkEnd w:id="17"/>
    </w:p>
    <w:p w14:paraId="4CFC1EF0">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（一）一般公共预算财政拨款支出决算总体情况</w:t>
      </w:r>
    </w:p>
    <w:p w14:paraId="1D369A86">
      <w:pPr>
        <w:spacing w:line="600" w:lineRule="exact"/>
        <w:ind w:firstLine="640" w:firstLineChars="200"/>
        <w:rPr>
          <w:rFonts w:hint="eastAsia" w:ascii="仿宋" w:hAnsi="仿宋" w:eastAsia="仿宋"/>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eastAsia="zh-CN"/>
        </w:rPr>
        <w:t>20</w:t>
      </w:r>
      <w:r>
        <w:rPr>
          <w:rFonts w:hint="default" w:ascii="Times New Roman" w:hAnsi="Times New Roman" w:eastAsia="仿宋" w:cs="Times New Roman"/>
          <w:b w:val="0"/>
          <w:bCs w:val="0"/>
          <w:color w:val="auto"/>
          <w:sz w:val="32"/>
          <w:szCs w:val="32"/>
          <w:highlight w:val="none"/>
          <w:lang w:val="en-US" w:eastAsia="zh-CN"/>
        </w:rPr>
        <w:t>24</w:t>
      </w:r>
      <w:r>
        <w:rPr>
          <w:rFonts w:hint="default" w:ascii="Times New Roman" w:hAnsi="Times New Roman" w:eastAsia="仿宋" w:cs="Times New Roman"/>
          <w:b w:val="0"/>
          <w:bCs w:val="0"/>
          <w:color w:val="auto"/>
          <w:sz w:val="32"/>
          <w:szCs w:val="32"/>
          <w:highlight w:val="none"/>
        </w:rPr>
        <w:t>年</w:t>
      </w:r>
      <w:r>
        <w:rPr>
          <w:rFonts w:hint="default" w:ascii="Times New Roman" w:hAnsi="Times New Roman" w:eastAsia="仿宋" w:cs="Times New Roman"/>
          <w:b w:val="0"/>
          <w:bCs w:val="0"/>
          <w:color w:val="auto"/>
          <w:sz w:val="32"/>
          <w:szCs w:val="32"/>
          <w:highlight w:val="none"/>
          <w:lang w:eastAsia="zh-CN"/>
        </w:rPr>
        <w:t>度</w:t>
      </w:r>
      <w:r>
        <w:rPr>
          <w:rFonts w:hint="default" w:ascii="Times New Roman" w:hAnsi="Times New Roman" w:eastAsia="仿宋" w:cs="Times New Roman"/>
          <w:b w:val="0"/>
          <w:bCs w:val="0"/>
          <w:color w:val="auto"/>
          <w:sz w:val="32"/>
          <w:szCs w:val="32"/>
          <w:highlight w:val="none"/>
        </w:rPr>
        <w:t>一般公共预算财政拨款支出</w:t>
      </w:r>
      <w:r>
        <w:rPr>
          <w:rFonts w:hint="default" w:ascii="Times New Roman" w:hAnsi="Times New Roman" w:eastAsia="仿宋" w:cs="Times New Roman"/>
          <w:b w:val="0"/>
          <w:bCs w:val="0"/>
          <w:color w:val="auto"/>
          <w:sz w:val="32"/>
          <w:szCs w:val="32"/>
          <w:highlight w:val="none"/>
          <w:lang w:val="en-US" w:eastAsia="zh-CN"/>
        </w:rPr>
        <w:t>4,186.03</w:t>
      </w:r>
      <w:r>
        <w:rPr>
          <w:rFonts w:hint="default" w:ascii="Times New Roman" w:hAnsi="Times New Roman" w:eastAsia="仿宋" w:cs="Times New Roman"/>
          <w:b w:val="0"/>
          <w:bCs w:val="0"/>
          <w:color w:val="auto"/>
          <w:sz w:val="32"/>
          <w:szCs w:val="32"/>
          <w:highlight w:val="none"/>
        </w:rPr>
        <w:t>万元，占本年支出合计的</w:t>
      </w:r>
      <w:r>
        <w:rPr>
          <w:rFonts w:hint="default" w:ascii="Times New Roman" w:hAnsi="Times New Roman" w:eastAsia="仿宋" w:cs="Times New Roman"/>
          <w:b w:val="0"/>
          <w:bCs w:val="0"/>
          <w:color w:val="auto"/>
          <w:sz w:val="32"/>
          <w:szCs w:val="32"/>
          <w:highlight w:val="none"/>
          <w:lang w:val="en-US" w:eastAsia="zh-CN"/>
        </w:rPr>
        <w:t>100</w:t>
      </w:r>
      <w:r>
        <w:rPr>
          <w:rFonts w:hint="default" w:ascii="Times New Roman" w:hAnsi="Times New Roman" w:eastAsia="仿宋" w:cs="Times New Roman"/>
          <w:b w:val="0"/>
          <w:bCs w:val="0"/>
          <w:color w:val="auto"/>
          <w:sz w:val="32"/>
          <w:szCs w:val="32"/>
          <w:highlight w:val="none"/>
        </w:rPr>
        <w:t>%。与</w:t>
      </w:r>
      <w:r>
        <w:rPr>
          <w:rFonts w:hint="default" w:ascii="Times New Roman" w:hAnsi="Times New Roman" w:eastAsia="仿宋" w:cs="Times New Roman"/>
          <w:b w:val="0"/>
          <w:bCs w:val="0"/>
          <w:color w:val="auto"/>
          <w:sz w:val="32"/>
          <w:szCs w:val="32"/>
          <w:highlight w:val="none"/>
          <w:lang w:eastAsia="zh-CN"/>
        </w:rPr>
        <w:t>202</w:t>
      </w:r>
      <w:r>
        <w:rPr>
          <w:rFonts w:hint="default" w:ascii="Times New Roman" w:hAnsi="Times New Roman" w:eastAsia="仿宋" w:cs="Times New Roman"/>
          <w:b w:val="0"/>
          <w:bCs w:val="0"/>
          <w:color w:val="auto"/>
          <w:sz w:val="32"/>
          <w:szCs w:val="32"/>
          <w:highlight w:val="none"/>
          <w:lang w:val="en-US" w:eastAsia="zh-CN"/>
        </w:rPr>
        <w:t>3</w:t>
      </w:r>
      <w:r>
        <w:rPr>
          <w:rFonts w:hint="default" w:ascii="Times New Roman" w:hAnsi="Times New Roman" w:eastAsia="仿宋" w:cs="Times New Roman"/>
          <w:b w:val="0"/>
          <w:bCs w:val="0"/>
          <w:color w:val="auto"/>
          <w:sz w:val="32"/>
          <w:szCs w:val="32"/>
          <w:highlight w:val="none"/>
        </w:rPr>
        <w:t>年</w:t>
      </w:r>
      <w:r>
        <w:rPr>
          <w:rFonts w:hint="default" w:ascii="Times New Roman" w:hAnsi="Times New Roman" w:eastAsia="仿宋" w:cs="Times New Roman"/>
          <w:b w:val="0"/>
          <w:bCs w:val="0"/>
          <w:color w:val="auto"/>
          <w:sz w:val="32"/>
          <w:szCs w:val="32"/>
          <w:highlight w:val="none"/>
          <w:lang w:eastAsia="zh-CN"/>
        </w:rPr>
        <w:t>度</w:t>
      </w:r>
      <w:r>
        <w:rPr>
          <w:rFonts w:hint="default" w:ascii="Times New Roman" w:hAnsi="Times New Roman" w:eastAsia="仿宋" w:cs="Times New Roman"/>
          <w:b w:val="0"/>
          <w:bCs w:val="0"/>
          <w:color w:val="auto"/>
          <w:sz w:val="32"/>
          <w:szCs w:val="32"/>
          <w:highlight w:val="none"/>
        </w:rPr>
        <w:t>相比，一般公共预算财政拨款</w:t>
      </w:r>
      <w:r>
        <w:rPr>
          <w:rFonts w:hint="default" w:ascii="Times New Roman" w:hAnsi="Times New Roman" w:eastAsia="仿宋" w:cs="Times New Roman"/>
          <w:b w:val="0"/>
          <w:bCs w:val="0"/>
          <w:color w:val="auto"/>
          <w:sz w:val="32"/>
          <w:szCs w:val="32"/>
          <w:highlight w:val="none"/>
          <w:lang w:eastAsia="zh-CN"/>
        </w:rPr>
        <w:t>支出</w:t>
      </w:r>
      <w:r>
        <w:rPr>
          <w:rFonts w:hint="default" w:ascii="Times New Roman" w:hAnsi="Times New Roman" w:eastAsia="仿宋" w:cs="Times New Roman"/>
          <w:b w:val="0"/>
          <w:bCs w:val="0"/>
          <w:color w:val="auto"/>
          <w:sz w:val="32"/>
          <w:szCs w:val="32"/>
          <w:highlight w:val="none"/>
          <w:lang w:val="en-US" w:eastAsia="zh-CN"/>
        </w:rPr>
        <w:t>减少107.38万元，减少2.63%。</w:t>
      </w:r>
      <w:r>
        <w:rPr>
          <w:rFonts w:hint="eastAsia" w:ascii="仿宋" w:hAnsi="仿宋" w:eastAsia="仿宋"/>
          <w:color w:val="auto"/>
          <w:sz w:val="32"/>
          <w:szCs w:val="32"/>
          <w:highlight w:val="none"/>
          <w:lang w:eastAsia="zh-CN"/>
        </w:rPr>
        <w:t>主要变动原因是</w:t>
      </w:r>
      <w:r>
        <w:rPr>
          <w:rFonts w:eastAsia="仿宋_GB2312"/>
          <w:color w:val="000000"/>
          <w:sz w:val="32"/>
          <w:szCs w:val="32"/>
        </w:rPr>
        <w:t>为</w:t>
      </w:r>
      <w:r>
        <w:rPr>
          <w:rFonts w:hint="default" w:ascii="Times New Roman" w:hAnsi="Times New Roman" w:eastAsia="方正仿宋_GBK" w:cs="Times New Roman"/>
          <w:color w:val="000000"/>
          <w:sz w:val="32"/>
          <w:szCs w:val="32"/>
          <w:lang w:val="en-US" w:eastAsia="zh-CN"/>
        </w:rPr>
        <w:t>政策调资，</w:t>
      </w:r>
      <w:r>
        <w:rPr>
          <w:rFonts w:hint="default" w:ascii="Times New Roman" w:hAnsi="Times New Roman" w:eastAsia="方正仿宋_GBK" w:cs="Times New Roman"/>
          <w:spacing w:val="11"/>
          <w:sz w:val="32"/>
          <w:lang w:val="en-US" w:eastAsia="zh-CN"/>
        </w:rPr>
        <w:t>新调入5名领导干部，组织开展州委安排的联心同行和托底帮扶等相关工作、省人大安排</w:t>
      </w:r>
      <w:r>
        <w:rPr>
          <w:rFonts w:hint="default" w:ascii="Times New Roman" w:hAnsi="Times New Roman" w:eastAsia="方正仿宋_GBK" w:cs="Times New Roman"/>
          <w:kern w:val="2"/>
          <w:sz w:val="32"/>
          <w:szCs w:val="32"/>
          <w:vertAlign w:val="baseline"/>
        </w:rPr>
        <w:t>全国</w:t>
      </w:r>
      <w:r>
        <w:rPr>
          <w:rFonts w:hint="default" w:ascii="Times New Roman" w:hAnsi="Times New Roman" w:eastAsia="方正仿宋_GBK" w:cs="Times New Roman"/>
          <w:kern w:val="2"/>
          <w:sz w:val="32"/>
          <w:szCs w:val="32"/>
          <w:vertAlign w:val="baseline"/>
          <w:lang w:val="en-US" w:eastAsia="zh-CN"/>
        </w:rPr>
        <w:t>和</w:t>
      </w:r>
      <w:r>
        <w:rPr>
          <w:rFonts w:hint="default" w:ascii="Times New Roman" w:hAnsi="Times New Roman" w:eastAsia="方正仿宋_GBK" w:cs="Times New Roman"/>
          <w:kern w:val="2"/>
          <w:sz w:val="32"/>
          <w:szCs w:val="32"/>
          <w:vertAlign w:val="baseline"/>
        </w:rPr>
        <w:t>省人大代表</w:t>
      </w:r>
      <w:r>
        <w:rPr>
          <w:rFonts w:hint="default" w:ascii="Times New Roman" w:hAnsi="Times New Roman" w:eastAsia="方正仿宋_GBK" w:cs="Times New Roman"/>
          <w:kern w:val="2"/>
          <w:sz w:val="32"/>
          <w:szCs w:val="32"/>
          <w:vertAlign w:val="baseline"/>
          <w:lang w:val="en-US" w:eastAsia="zh-CN"/>
        </w:rPr>
        <w:t>来州开展</w:t>
      </w:r>
      <w:r>
        <w:rPr>
          <w:rFonts w:hint="default" w:ascii="Times New Roman" w:hAnsi="Times New Roman" w:eastAsia="方正仿宋_GBK" w:cs="Times New Roman"/>
          <w:spacing w:val="11"/>
          <w:sz w:val="32"/>
          <w:lang w:val="en-US" w:eastAsia="zh-CN"/>
        </w:rPr>
        <w:t>执法检查、专题调研、代表视察等工作等工作增加</w:t>
      </w:r>
      <w:r>
        <w:rPr>
          <w:rFonts w:hint="eastAsia" w:ascii="仿宋" w:hAnsi="仿宋" w:eastAsia="仿宋"/>
          <w:color w:val="auto"/>
          <w:sz w:val="32"/>
          <w:szCs w:val="32"/>
          <w:highlight w:val="none"/>
          <w:lang w:eastAsia="zh-CN"/>
        </w:rPr>
        <w:t>。</w:t>
      </w:r>
    </w:p>
    <w:p w14:paraId="553D6F01">
      <w:pPr>
        <w:pStyle w:val="18"/>
        <w:jc w:val="center"/>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lang w:eastAsia="zh-CN"/>
        </w:rPr>
        <w:drawing>
          <wp:anchor distT="0" distB="0" distL="114300" distR="114300" simplePos="0" relativeHeight="251663360" behindDoc="0" locked="0" layoutInCell="1" allowOverlap="1">
            <wp:simplePos x="0" y="0"/>
            <wp:positionH relativeFrom="column">
              <wp:align>center</wp:align>
            </wp:positionH>
            <wp:positionV relativeFrom="paragraph">
              <wp:posOffset>100965</wp:posOffset>
            </wp:positionV>
            <wp:extent cx="4102735" cy="1478280"/>
            <wp:effectExtent l="4445" t="4445" r="7620" b="2222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auto"/>
          <w:sz w:val="32"/>
          <w:szCs w:val="32"/>
          <w:highlight w:val="none"/>
        </w:rPr>
        <w:t>（图5：一般公共预算财政拨款支出决算变动情况）</w:t>
      </w:r>
    </w:p>
    <w:p w14:paraId="788D346E">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p>
    <w:p w14:paraId="0EE07A6F">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eastAsia="zh-CN"/>
        </w:rPr>
        <w:t>202</w:t>
      </w:r>
      <w:r>
        <w:rPr>
          <w:rFonts w:hint="default" w:ascii="Times New Roman" w:hAnsi="Times New Roman" w:eastAsia="仿宋" w:cs="Times New Roman"/>
          <w:b w:val="0"/>
          <w:bCs w:val="0"/>
          <w:color w:val="auto"/>
          <w:sz w:val="32"/>
          <w:szCs w:val="32"/>
          <w:highlight w:val="none"/>
          <w:lang w:val="en-US" w:eastAsia="zh-CN"/>
        </w:rPr>
        <w:t>4</w:t>
      </w:r>
      <w:r>
        <w:rPr>
          <w:rFonts w:hint="default" w:ascii="Times New Roman" w:hAnsi="Times New Roman" w:eastAsia="仿宋" w:cs="Times New Roman"/>
          <w:b w:val="0"/>
          <w:bCs w:val="0"/>
          <w:color w:val="auto"/>
          <w:sz w:val="32"/>
          <w:szCs w:val="32"/>
          <w:highlight w:val="none"/>
        </w:rPr>
        <w:t>年</w:t>
      </w:r>
      <w:r>
        <w:rPr>
          <w:rFonts w:hint="default" w:ascii="Times New Roman" w:hAnsi="Times New Roman" w:eastAsia="仿宋" w:cs="Times New Roman"/>
          <w:b w:val="0"/>
          <w:bCs w:val="0"/>
          <w:color w:val="auto"/>
          <w:sz w:val="32"/>
          <w:szCs w:val="32"/>
          <w:highlight w:val="none"/>
          <w:lang w:eastAsia="zh-CN"/>
        </w:rPr>
        <w:t>度</w:t>
      </w:r>
      <w:r>
        <w:rPr>
          <w:rFonts w:hint="default" w:ascii="Times New Roman" w:hAnsi="Times New Roman" w:eastAsia="仿宋" w:cs="Times New Roman"/>
          <w:b w:val="0"/>
          <w:bCs w:val="0"/>
          <w:color w:val="auto"/>
          <w:sz w:val="32"/>
          <w:szCs w:val="32"/>
          <w:highlight w:val="none"/>
        </w:rPr>
        <w:t>一般公共预算财政拨款支出</w:t>
      </w:r>
      <w:r>
        <w:rPr>
          <w:rFonts w:hint="default" w:ascii="Times New Roman" w:hAnsi="Times New Roman" w:eastAsia="仿宋" w:cs="Times New Roman"/>
          <w:b w:val="0"/>
          <w:bCs w:val="0"/>
          <w:color w:val="auto"/>
          <w:sz w:val="32"/>
          <w:szCs w:val="32"/>
          <w:highlight w:val="none"/>
          <w:lang w:val="en-US" w:eastAsia="zh-CN"/>
        </w:rPr>
        <w:t>4,186.03</w:t>
      </w:r>
      <w:r>
        <w:rPr>
          <w:rFonts w:hint="default" w:ascii="Times New Roman" w:hAnsi="Times New Roman" w:eastAsia="仿宋" w:cs="Times New Roman"/>
          <w:b w:val="0"/>
          <w:bCs w:val="0"/>
          <w:color w:val="auto"/>
          <w:sz w:val="32"/>
          <w:szCs w:val="32"/>
          <w:highlight w:val="none"/>
        </w:rPr>
        <w:t>万元，主要用于以下方面:一般公共服务支出</w:t>
      </w:r>
      <w:r>
        <w:rPr>
          <w:rFonts w:hint="default" w:ascii="Times New Roman" w:hAnsi="Times New Roman" w:eastAsia="仿宋" w:cs="Times New Roman"/>
          <w:b w:val="0"/>
          <w:bCs w:val="0"/>
          <w:color w:val="auto"/>
          <w:sz w:val="32"/>
          <w:szCs w:val="32"/>
          <w:highlight w:val="none"/>
          <w:lang w:val="en-US" w:eastAsia="zh-CN"/>
        </w:rPr>
        <w:t>3,556.78</w:t>
      </w:r>
      <w:r>
        <w:rPr>
          <w:rFonts w:hint="default" w:ascii="Times New Roman" w:hAnsi="Times New Roman" w:eastAsia="仿宋" w:cs="Times New Roman"/>
          <w:b w:val="0"/>
          <w:bCs w:val="0"/>
          <w:color w:val="auto"/>
          <w:sz w:val="32"/>
          <w:szCs w:val="32"/>
          <w:highlight w:val="none"/>
        </w:rPr>
        <w:t>万元，占</w:t>
      </w:r>
      <w:r>
        <w:rPr>
          <w:rFonts w:hint="default" w:ascii="Times New Roman" w:hAnsi="Times New Roman" w:eastAsia="仿宋" w:cs="Times New Roman"/>
          <w:b w:val="0"/>
          <w:bCs w:val="0"/>
          <w:color w:val="auto"/>
          <w:sz w:val="32"/>
          <w:szCs w:val="32"/>
          <w:highlight w:val="none"/>
          <w:lang w:val="en-US" w:eastAsia="zh-CN"/>
        </w:rPr>
        <w:t>84.97</w:t>
      </w:r>
      <w:r>
        <w:rPr>
          <w:rFonts w:hint="default" w:ascii="Times New Roman" w:hAnsi="Times New Roman" w:eastAsia="仿宋" w:cs="Times New Roman"/>
          <w:b w:val="0"/>
          <w:bCs w:val="0"/>
          <w:color w:val="auto"/>
          <w:sz w:val="32"/>
          <w:szCs w:val="32"/>
          <w:highlight w:val="none"/>
        </w:rPr>
        <w:t>%</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社会保障和就业支出</w:t>
      </w:r>
      <w:r>
        <w:rPr>
          <w:rFonts w:hint="default" w:ascii="Times New Roman" w:hAnsi="Times New Roman" w:eastAsia="仿宋" w:cs="Times New Roman"/>
          <w:b w:val="0"/>
          <w:bCs w:val="0"/>
          <w:color w:val="auto"/>
          <w:sz w:val="32"/>
          <w:szCs w:val="32"/>
          <w:highlight w:val="none"/>
          <w:lang w:val="en-US" w:eastAsia="zh-CN"/>
        </w:rPr>
        <w:t>348.82</w:t>
      </w:r>
      <w:r>
        <w:rPr>
          <w:rFonts w:hint="default" w:ascii="Times New Roman" w:hAnsi="Times New Roman" w:eastAsia="仿宋" w:cs="Times New Roman"/>
          <w:b w:val="0"/>
          <w:bCs w:val="0"/>
          <w:color w:val="auto"/>
          <w:sz w:val="32"/>
          <w:szCs w:val="32"/>
          <w:highlight w:val="none"/>
        </w:rPr>
        <w:t>万元，占</w:t>
      </w:r>
      <w:r>
        <w:rPr>
          <w:rFonts w:hint="default" w:ascii="Times New Roman" w:hAnsi="Times New Roman" w:eastAsia="仿宋" w:cs="Times New Roman"/>
          <w:b w:val="0"/>
          <w:bCs w:val="0"/>
          <w:color w:val="auto"/>
          <w:sz w:val="32"/>
          <w:szCs w:val="32"/>
          <w:highlight w:val="none"/>
          <w:lang w:val="en-US" w:eastAsia="zh-CN"/>
        </w:rPr>
        <w:t>8.33</w:t>
      </w:r>
      <w:r>
        <w:rPr>
          <w:rFonts w:hint="default" w:ascii="Times New Roman" w:hAnsi="Times New Roman" w:eastAsia="仿宋" w:cs="Times New Roman"/>
          <w:b w:val="0"/>
          <w:bCs w:val="0"/>
          <w:color w:val="auto"/>
          <w:sz w:val="32"/>
          <w:szCs w:val="32"/>
          <w:highlight w:val="none"/>
        </w:rPr>
        <w:t>%；卫生健康支出</w:t>
      </w:r>
      <w:r>
        <w:rPr>
          <w:rFonts w:hint="default" w:ascii="Times New Roman" w:hAnsi="Times New Roman" w:eastAsia="仿宋" w:cs="Times New Roman"/>
          <w:b w:val="0"/>
          <w:bCs w:val="0"/>
          <w:color w:val="auto"/>
          <w:sz w:val="32"/>
          <w:szCs w:val="32"/>
          <w:highlight w:val="none"/>
          <w:lang w:val="en-US" w:eastAsia="zh-CN"/>
        </w:rPr>
        <w:t>122.93</w:t>
      </w:r>
      <w:r>
        <w:rPr>
          <w:rFonts w:hint="default" w:ascii="Times New Roman" w:hAnsi="Times New Roman" w:eastAsia="仿宋" w:cs="Times New Roman"/>
          <w:b w:val="0"/>
          <w:bCs w:val="0"/>
          <w:color w:val="auto"/>
          <w:sz w:val="32"/>
          <w:szCs w:val="32"/>
          <w:highlight w:val="none"/>
        </w:rPr>
        <w:t>万元，占</w:t>
      </w:r>
      <w:r>
        <w:rPr>
          <w:rFonts w:hint="default" w:ascii="Times New Roman" w:hAnsi="Times New Roman" w:eastAsia="仿宋" w:cs="Times New Roman"/>
          <w:b w:val="0"/>
          <w:bCs w:val="0"/>
          <w:color w:val="auto"/>
          <w:sz w:val="32"/>
          <w:szCs w:val="32"/>
          <w:highlight w:val="none"/>
          <w:lang w:val="en-US" w:eastAsia="zh-CN"/>
        </w:rPr>
        <w:t>2.94</w:t>
      </w:r>
      <w:r>
        <w:rPr>
          <w:rFonts w:hint="default" w:ascii="Times New Roman" w:hAnsi="Times New Roman" w:eastAsia="仿宋" w:cs="Times New Roman"/>
          <w:b w:val="0"/>
          <w:bCs w:val="0"/>
          <w:color w:val="auto"/>
          <w:sz w:val="32"/>
          <w:szCs w:val="32"/>
          <w:highlight w:val="none"/>
        </w:rPr>
        <w:t>%；住房保障支出</w:t>
      </w:r>
      <w:r>
        <w:rPr>
          <w:rFonts w:hint="default" w:ascii="Times New Roman" w:hAnsi="Times New Roman" w:eastAsia="仿宋" w:cs="Times New Roman"/>
          <w:b w:val="0"/>
          <w:bCs w:val="0"/>
          <w:color w:val="auto"/>
          <w:sz w:val="32"/>
          <w:szCs w:val="32"/>
          <w:highlight w:val="none"/>
          <w:lang w:val="en-US" w:eastAsia="zh-CN"/>
        </w:rPr>
        <w:t>155.72</w:t>
      </w:r>
      <w:r>
        <w:rPr>
          <w:rFonts w:hint="default" w:ascii="Times New Roman" w:hAnsi="Times New Roman" w:eastAsia="仿宋" w:cs="Times New Roman"/>
          <w:b w:val="0"/>
          <w:bCs w:val="0"/>
          <w:color w:val="auto"/>
          <w:sz w:val="32"/>
          <w:szCs w:val="32"/>
          <w:highlight w:val="none"/>
        </w:rPr>
        <w:t>万元，占</w:t>
      </w:r>
      <w:r>
        <w:rPr>
          <w:rFonts w:hint="default" w:ascii="Times New Roman" w:hAnsi="Times New Roman" w:eastAsia="仿宋" w:cs="Times New Roman"/>
          <w:b w:val="0"/>
          <w:bCs w:val="0"/>
          <w:color w:val="auto"/>
          <w:sz w:val="32"/>
          <w:szCs w:val="32"/>
          <w:highlight w:val="none"/>
          <w:lang w:val="en-US" w:eastAsia="zh-CN"/>
        </w:rPr>
        <w:t>3.72</w:t>
      </w:r>
      <w:r>
        <w:rPr>
          <w:rFonts w:hint="default" w:ascii="Times New Roman" w:hAnsi="Times New Roman" w:eastAsia="仿宋" w:cs="Times New Roman"/>
          <w:b w:val="0"/>
          <w:bCs w:val="0"/>
          <w:color w:val="auto"/>
          <w:sz w:val="32"/>
          <w:szCs w:val="32"/>
          <w:highlight w:val="none"/>
        </w:rPr>
        <w:t>%</w:t>
      </w:r>
      <w:r>
        <w:rPr>
          <w:rFonts w:hint="default" w:ascii="Times New Roman" w:hAnsi="Times New Roman" w:eastAsia="仿宋" w:cs="Times New Roman"/>
          <w:b w:val="0"/>
          <w:bCs w:val="0"/>
          <w:color w:val="auto"/>
          <w:sz w:val="32"/>
          <w:szCs w:val="32"/>
          <w:highlight w:val="none"/>
          <w:lang w:val="en-US" w:eastAsia="zh-CN"/>
        </w:rPr>
        <w:t>,</w:t>
      </w:r>
      <w:r>
        <w:rPr>
          <w:rFonts w:hint="default" w:ascii="Times New Roman" w:hAnsi="Times New Roman" w:eastAsia="仿宋" w:cs="Times New Roman"/>
          <w:b w:val="0"/>
          <w:bCs w:val="0"/>
          <w:color w:val="auto"/>
          <w:sz w:val="32"/>
          <w:szCs w:val="32"/>
          <w:highlight w:val="none"/>
        </w:rPr>
        <w:t>教育支出</w:t>
      </w:r>
      <w:r>
        <w:rPr>
          <w:rFonts w:hint="default" w:ascii="Times New Roman" w:hAnsi="Times New Roman" w:eastAsia="仿宋" w:cs="Times New Roman"/>
          <w:b w:val="0"/>
          <w:bCs w:val="0"/>
          <w:color w:val="auto"/>
          <w:sz w:val="32"/>
          <w:szCs w:val="32"/>
          <w:highlight w:val="none"/>
          <w:lang w:val="en-US" w:eastAsia="zh-CN"/>
        </w:rPr>
        <w:t>1.78</w:t>
      </w:r>
      <w:r>
        <w:rPr>
          <w:rFonts w:hint="default" w:ascii="Times New Roman" w:hAnsi="Times New Roman" w:eastAsia="仿宋" w:cs="Times New Roman"/>
          <w:b w:val="0"/>
          <w:bCs w:val="0"/>
          <w:color w:val="auto"/>
          <w:sz w:val="32"/>
          <w:szCs w:val="32"/>
          <w:highlight w:val="none"/>
        </w:rPr>
        <w:t>万元，占</w:t>
      </w:r>
      <w:r>
        <w:rPr>
          <w:rFonts w:hint="default" w:ascii="Times New Roman" w:hAnsi="Times New Roman" w:eastAsia="仿宋" w:cs="Times New Roman"/>
          <w:b w:val="0"/>
          <w:bCs w:val="0"/>
          <w:color w:val="auto"/>
          <w:sz w:val="32"/>
          <w:szCs w:val="32"/>
          <w:highlight w:val="none"/>
          <w:lang w:val="en-US" w:eastAsia="zh-CN"/>
        </w:rPr>
        <w:t>0.04</w:t>
      </w:r>
      <w:r>
        <w:rPr>
          <w:rFonts w:hint="default" w:ascii="Times New Roman" w:hAnsi="Times New Roman" w:eastAsia="仿宋" w:cs="Times New Roman"/>
          <w:b w:val="0"/>
          <w:bCs w:val="0"/>
          <w:color w:val="auto"/>
          <w:sz w:val="32"/>
          <w:szCs w:val="32"/>
          <w:highlight w:val="none"/>
        </w:rPr>
        <w:t>%</w:t>
      </w:r>
      <w:r>
        <w:rPr>
          <w:rFonts w:hint="default" w:ascii="Times New Roman" w:hAnsi="Times New Roman" w:eastAsia="仿宋" w:cs="Times New Roman"/>
          <w:b w:val="0"/>
          <w:bCs w:val="0"/>
          <w:color w:val="auto"/>
          <w:sz w:val="32"/>
          <w:szCs w:val="32"/>
          <w:highlight w:val="none"/>
          <w:lang w:eastAsia="zh-CN"/>
        </w:rPr>
        <w:t>。</w:t>
      </w:r>
    </w:p>
    <w:p w14:paraId="2203FB69">
      <w:pPr>
        <w:pStyle w:val="18"/>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4384" behindDoc="0" locked="0" layoutInCell="1" allowOverlap="1">
            <wp:simplePos x="0" y="0"/>
            <wp:positionH relativeFrom="column">
              <wp:align>center</wp:align>
            </wp:positionH>
            <wp:positionV relativeFrom="paragraph">
              <wp:posOffset>53975</wp:posOffset>
            </wp:positionV>
            <wp:extent cx="4100830" cy="2429510"/>
            <wp:effectExtent l="4445" t="4445" r="9525" b="23495"/>
            <wp:wrapTopAndBottom/>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auto"/>
          <w:sz w:val="32"/>
          <w:szCs w:val="32"/>
          <w:highlight w:val="none"/>
          <w:lang w:val="en-US" w:eastAsia="zh-CN"/>
        </w:rPr>
        <w:tab/>
      </w:r>
      <w:r>
        <w:rPr>
          <w:rFonts w:hint="eastAsia" w:ascii="仿宋" w:hAnsi="仿宋" w:eastAsia="仿宋"/>
          <w:color w:val="auto"/>
          <w:sz w:val="32"/>
          <w:szCs w:val="32"/>
          <w:highlight w:val="none"/>
        </w:rPr>
        <w:t>（图6：一般公共预算财政拨款支出决算结构）</w:t>
      </w:r>
    </w:p>
    <w:p w14:paraId="7BEA98B6">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p>
    <w:p w14:paraId="2834F671">
      <w:pPr>
        <w:spacing w:line="600" w:lineRule="exact"/>
        <w:ind w:firstLine="640" w:firstLineChars="200"/>
        <w:outlineLvl w:val="1"/>
        <w:rPr>
          <w:rFonts w:hint="default" w:ascii="Times New Roman" w:hAnsi="Times New Roman" w:eastAsia="仿宋" w:cs="Times New Roman"/>
          <w:b w:val="0"/>
          <w:bCs/>
          <w:color w:val="auto"/>
          <w:sz w:val="32"/>
          <w:szCs w:val="32"/>
          <w:highlight w:val="none"/>
        </w:rPr>
      </w:pPr>
      <w:bookmarkStart w:id="18" w:name="_Toc16222"/>
      <w:r>
        <w:rPr>
          <w:rFonts w:hint="default" w:ascii="Times New Roman" w:hAnsi="Times New Roman" w:eastAsia="仿宋" w:cs="Times New Roman"/>
          <w:b w:val="0"/>
          <w:bCs/>
          <w:color w:val="auto"/>
          <w:sz w:val="32"/>
          <w:szCs w:val="32"/>
          <w:highlight w:val="none"/>
          <w:lang w:eastAsia="zh-CN"/>
        </w:rPr>
        <w:t>202</w:t>
      </w:r>
      <w:r>
        <w:rPr>
          <w:rFonts w:hint="eastAsia" w:ascii="Times New Roman" w:hAnsi="Times New Roman" w:eastAsia="仿宋" w:cs="Times New Roman"/>
          <w:b w:val="0"/>
          <w:bCs/>
          <w:color w:val="auto"/>
          <w:sz w:val="32"/>
          <w:szCs w:val="32"/>
          <w:highlight w:val="none"/>
          <w:lang w:val="en-US" w:eastAsia="zh-CN"/>
        </w:rPr>
        <w:t>4</w:t>
      </w:r>
      <w:r>
        <w:rPr>
          <w:rFonts w:hint="default" w:ascii="Times New Roman" w:hAnsi="Times New Roman" w:eastAsia="仿宋" w:cs="Times New Roman"/>
          <w:b w:val="0"/>
          <w:bCs/>
          <w:color w:val="auto"/>
          <w:sz w:val="32"/>
          <w:szCs w:val="32"/>
          <w:highlight w:val="none"/>
        </w:rPr>
        <w:t>年</w:t>
      </w:r>
      <w:r>
        <w:rPr>
          <w:rFonts w:hint="default" w:ascii="Times New Roman" w:hAnsi="Times New Roman" w:eastAsia="仿宋" w:cs="Times New Roman"/>
          <w:b w:val="0"/>
          <w:bCs/>
          <w:color w:val="auto"/>
          <w:sz w:val="32"/>
          <w:szCs w:val="32"/>
          <w:highlight w:val="none"/>
          <w:lang w:eastAsia="zh-CN"/>
        </w:rPr>
        <w:t>度一</w:t>
      </w:r>
      <w:r>
        <w:rPr>
          <w:rFonts w:hint="default" w:ascii="Times New Roman" w:hAnsi="Times New Roman" w:eastAsia="仿宋" w:cs="Times New Roman"/>
          <w:b w:val="0"/>
          <w:bCs/>
          <w:color w:val="auto"/>
          <w:sz w:val="32"/>
          <w:szCs w:val="32"/>
          <w:highlight w:val="none"/>
        </w:rPr>
        <w:t>般公共预算支出决算数为</w:t>
      </w:r>
      <w:r>
        <w:rPr>
          <w:rFonts w:hint="default" w:ascii="Times New Roman" w:hAnsi="Times New Roman" w:eastAsia="仿宋" w:cs="Times New Roman"/>
          <w:b w:val="0"/>
          <w:bCs/>
          <w:color w:val="auto"/>
          <w:sz w:val="32"/>
          <w:szCs w:val="32"/>
          <w:highlight w:val="none"/>
          <w:lang w:val="en-US" w:eastAsia="zh-CN"/>
        </w:rPr>
        <w:t>4,186.03万元</w:t>
      </w:r>
      <w:r>
        <w:rPr>
          <w:rFonts w:hint="default" w:ascii="Times New Roman" w:hAnsi="Times New Roman" w:eastAsia="仿宋" w:cs="Times New Roman"/>
          <w:b w:val="0"/>
          <w:bCs/>
          <w:color w:val="auto"/>
          <w:sz w:val="32"/>
          <w:szCs w:val="32"/>
          <w:highlight w:val="none"/>
        </w:rPr>
        <w:t>，</w:t>
      </w:r>
      <w:r>
        <w:rPr>
          <w:rStyle w:val="17"/>
          <w:rFonts w:hint="default" w:ascii="Times New Roman" w:hAnsi="Times New Roman" w:eastAsia="仿宋" w:cs="Times New Roman"/>
          <w:b w:val="0"/>
          <w:bCs/>
          <w:color w:val="auto"/>
          <w:sz w:val="32"/>
          <w:szCs w:val="32"/>
          <w:highlight w:val="none"/>
        </w:rPr>
        <w:t>完成预算</w:t>
      </w:r>
      <w:r>
        <w:rPr>
          <w:rStyle w:val="17"/>
          <w:rFonts w:hint="default" w:ascii="Times New Roman" w:hAnsi="Times New Roman" w:eastAsia="仿宋" w:cs="Times New Roman"/>
          <w:b w:val="0"/>
          <w:bCs/>
          <w:color w:val="auto"/>
          <w:sz w:val="32"/>
          <w:szCs w:val="32"/>
          <w:highlight w:val="none"/>
          <w:lang w:val="en-US" w:eastAsia="zh-CN"/>
        </w:rPr>
        <w:t>100</w:t>
      </w:r>
      <w:r>
        <w:rPr>
          <w:rStyle w:val="17"/>
          <w:rFonts w:hint="default" w:ascii="Times New Roman" w:hAnsi="Times New Roman" w:eastAsia="仿宋" w:cs="Times New Roman"/>
          <w:b w:val="0"/>
          <w:bCs/>
          <w:color w:val="auto"/>
          <w:sz w:val="32"/>
          <w:szCs w:val="32"/>
          <w:highlight w:val="none"/>
        </w:rPr>
        <w:t>%。其中：</w:t>
      </w:r>
      <w:bookmarkEnd w:id="18"/>
    </w:p>
    <w:p w14:paraId="5D90BA09">
      <w:pPr>
        <w:spacing w:line="600" w:lineRule="exact"/>
        <w:ind w:firstLine="640" w:firstLineChars="200"/>
        <w:rPr>
          <w:rStyle w:val="17"/>
          <w:rFonts w:hint="default" w:ascii="Times New Roman" w:hAnsi="Times New Roman" w:eastAsia="仿宋" w:cs="Times New Roman"/>
          <w:b w:val="0"/>
          <w:bCs/>
          <w:color w:val="auto"/>
          <w:sz w:val="32"/>
          <w:szCs w:val="32"/>
          <w:highlight w:val="none"/>
          <w:lang w:val="en-US" w:eastAsia="zh-CN"/>
        </w:rPr>
      </w:pPr>
      <w:r>
        <w:rPr>
          <w:rStyle w:val="17"/>
          <w:rFonts w:hint="default" w:ascii="Times New Roman" w:hAnsi="Times New Roman" w:eastAsia="仿宋" w:cs="Times New Roman"/>
          <w:b w:val="0"/>
          <w:bCs/>
          <w:color w:val="auto"/>
          <w:sz w:val="32"/>
          <w:szCs w:val="32"/>
          <w:highlight w:val="none"/>
          <w:lang w:val="en-US" w:eastAsia="zh-CN"/>
        </w:rPr>
        <w:t>1</w:t>
      </w:r>
      <w:r>
        <w:rPr>
          <w:rStyle w:val="17"/>
          <w:rFonts w:hint="default" w:ascii="Times New Roman" w:hAnsi="Times New Roman" w:eastAsia="仿宋" w:cs="Times New Roman"/>
          <w:b w:val="0"/>
          <w:bCs/>
          <w:color w:val="auto"/>
          <w:sz w:val="32"/>
          <w:szCs w:val="32"/>
          <w:highlight w:val="none"/>
        </w:rPr>
        <w:t>.</w:t>
      </w:r>
      <w:r>
        <w:rPr>
          <w:rStyle w:val="17"/>
          <w:rFonts w:hint="default" w:ascii="Times New Roman" w:hAnsi="Times New Roman" w:eastAsia="仿宋" w:cs="Times New Roman"/>
          <w:b w:val="0"/>
          <w:bCs/>
          <w:color w:val="000000"/>
          <w:sz w:val="32"/>
          <w:szCs w:val="32"/>
        </w:rPr>
        <w:t>一般公共服务（</w:t>
      </w:r>
      <w:r>
        <w:rPr>
          <w:rStyle w:val="17"/>
          <w:rFonts w:hint="default" w:ascii="Times New Roman" w:hAnsi="Times New Roman" w:eastAsia="仿宋" w:cs="Times New Roman"/>
          <w:b w:val="0"/>
          <w:bCs/>
          <w:color w:val="000000"/>
          <w:sz w:val="32"/>
          <w:szCs w:val="32"/>
          <w:lang w:val="en-US" w:eastAsia="zh-CN"/>
        </w:rPr>
        <w:t>201</w:t>
      </w:r>
      <w:r>
        <w:rPr>
          <w:rStyle w:val="17"/>
          <w:rFonts w:hint="default" w:ascii="Times New Roman" w:hAnsi="Times New Roman" w:eastAsia="仿宋" w:cs="Times New Roman"/>
          <w:b w:val="0"/>
          <w:bCs/>
          <w:color w:val="000000"/>
          <w:sz w:val="32"/>
          <w:szCs w:val="32"/>
        </w:rPr>
        <w:t>）</w:t>
      </w:r>
      <w:r>
        <w:rPr>
          <w:rStyle w:val="17"/>
          <w:rFonts w:hint="default" w:ascii="Times New Roman" w:hAnsi="Times New Roman" w:eastAsia="仿宋" w:cs="Times New Roman"/>
          <w:b w:val="0"/>
          <w:bCs/>
          <w:color w:val="000000"/>
          <w:sz w:val="32"/>
          <w:szCs w:val="32"/>
          <w:lang w:val="en-US" w:eastAsia="zh-CN"/>
        </w:rPr>
        <w:t>人大事务</w:t>
      </w:r>
      <w:r>
        <w:rPr>
          <w:rStyle w:val="17"/>
          <w:rFonts w:hint="default" w:ascii="Times New Roman" w:hAnsi="Times New Roman" w:eastAsia="仿宋" w:cs="Times New Roman"/>
          <w:b w:val="0"/>
          <w:bCs/>
          <w:color w:val="000000"/>
          <w:sz w:val="32"/>
          <w:szCs w:val="32"/>
        </w:rPr>
        <w:t>（</w:t>
      </w:r>
      <w:r>
        <w:rPr>
          <w:rStyle w:val="17"/>
          <w:rFonts w:hint="default" w:ascii="Times New Roman" w:hAnsi="Times New Roman" w:eastAsia="仿宋" w:cs="Times New Roman"/>
          <w:b w:val="0"/>
          <w:bCs/>
          <w:color w:val="000000"/>
          <w:sz w:val="32"/>
          <w:szCs w:val="32"/>
          <w:lang w:val="en-US" w:eastAsia="zh-CN"/>
        </w:rPr>
        <w:t>01</w:t>
      </w:r>
      <w:r>
        <w:rPr>
          <w:rStyle w:val="17"/>
          <w:rFonts w:hint="default" w:ascii="Times New Roman" w:hAnsi="Times New Roman" w:eastAsia="仿宋" w:cs="Times New Roman"/>
          <w:b w:val="0"/>
          <w:bCs/>
          <w:color w:val="000000"/>
          <w:sz w:val="32"/>
          <w:szCs w:val="32"/>
        </w:rPr>
        <w:t>）</w:t>
      </w:r>
      <w:r>
        <w:rPr>
          <w:rStyle w:val="17"/>
          <w:rFonts w:hint="default" w:ascii="Times New Roman" w:hAnsi="Times New Roman" w:eastAsia="仿宋" w:cs="Times New Roman"/>
          <w:b w:val="0"/>
          <w:bCs/>
          <w:color w:val="000000"/>
          <w:sz w:val="32"/>
          <w:szCs w:val="32"/>
          <w:lang w:val="en-US" w:eastAsia="zh-CN"/>
        </w:rPr>
        <w:t>行政运行</w:t>
      </w:r>
      <w:r>
        <w:rPr>
          <w:rStyle w:val="17"/>
          <w:rFonts w:hint="default" w:ascii="Times New Roman" w:hAnsi="Times New Roman" w:eastAsia="仿宋" w:cs="Times New Roman"/>
          <w:b w:val="0"/>
          <w:bCs/>
          <w:color w:val="000000"/>
          <w:sz w:val="32"/>
          <w:szCs w:val="32"/>
        </w:rPr>
        <w:t>（</w:t>
      </w:r>
      <w:r>
        <w:rPr>
          <w:rStyle w:val="17"/>
          <w:rFonts w:hint="default" w:ascii="Times New Roman" w:hAnsi="Times New Roman" w:eastAsia="仿宋" w:cs="Times New Roman"/>
          <w:b w:val="0"/>
          <w:bCs/>
          <w:color w:val="000000"/>
          <w:sz w:val="32"/>
          <w:szCs w:val="32"/>
          <w:lang w:val="en-US" w:eastAsia="zh-CN"/>
        </w:rPr>
        <w:t>01</w:t>
      </w:r>
      <w:r>
        <w:rPr>
          <w:rStyle w:val="17"/>
          <w:rFonts w:hint="default" w:ascii="Times New Roman" w:hAnsi="Times New Roman" w:eastAsia="仿宋" w:cs="Times New Roman"/>
          <w:b w:val="0"/>
          <w:bCs/>
          <w:color w:val="000000"/>
          <w:sz w:val="32"/>
          <w:szCs w:val="32"/>
        </w:rPr>
        <w:t>）: 支出决算为</w:t>
      </w:r>
      <w:r>
        <w:rPr>
          <w:rStyle w:val="17"/>
          <w:rFonts w:hint="eastAsia" w:ascii="Times New Roman" w:hAnsi="Times New Roman" w:eastAsia="仿宋" w:cs="Times New Roman"/>
          <w:b w:val="0"/>
          <w:bCs/>
          <w:color w:val="000000"/>
          <w:sz w:val="32"/>
          <w:szCs w:val="32"/>
          <w:lang w:val="en-US" w:eastAsia="zh-CN"/>
        </w:rPr>
        <w:t>3</w:t>
      </w:r>
      <w:r>
        <w:rPr>
          <w:rStyle w:val="17"/>
          <w:rFonts w:hint="default" w:ascii="Times New Roman" w:hAnsi="Times New Roman" w:eastAsia="仿宋" w:cs="Times New Roman"/>
          <w:b w:val="0"/>
          <w:bCs/>
          <w:color w:val="000000"/>
          <w:sz w:val="32"/>
          <w:szCs w:val="32"/>
          <w:lang w:val="en-US" w:eastAsia="zh-CN"/>
        </w:rPr>
        <w:t>,</w:t>
      </w:r>
      <w:r>
        <w:rPr>
          <w:rStyle w:val="17"/>
          <w:rFonts w:hint="eastAsia" w:ascii="Times New Roman" w:hAnsi="Times New Roman" w:eastAsia="仿宋" w:cs="Times New Roman"/>
          <w:b w:val="0"/>
          <w:bCs/>
          <w:color w:val="000000"/>
          <w:sz w:val="32"/>
          <w:szCs w:val="32"/>
          <w:lang w:val="en-US" w:eastAsia="zh-CN"/>
        </w:rPr>
        <w:t>069.89</w:t>
      </w:r>
      <w:r>
        <w:rPr>
          <w:rStyle w:val="17"/>
          <w:rFonts w:hint="default" w:ascii="Times New Roman" w:hAnsi="Times New Roman" w:eastAsia="仿宋" w:cs="Times New Roman"/>
          <w:b w:val="0"/>
          <w:bCs/>
          <w:color w:val="000000"/>
          <w:sz w:val="32"/>
          <w:szCs w:val="32"/>
        </w:rPr>
        <w:t>万元，</w:t>
      </w:r>
      <w:r>
        <w:rPr>
          <w:rStyle w:val="17"/>
          <w:rFonts w:hint="default" w:ascii="Times New Roman" w:hAnsi="Times New Roman" w:eastAsia="仿宋" w:cs="Times New Roman"/>
          <w:b w:val="0"/>
          <w:bCs/>
          <w:color w:val="auto"/>
          <w:sz w:val="32"/>
          <w:szCs w:val="32"/>
          <w:highlight w:val="none"/>
        </w:rPr>
        <w:t>完成预算</w:t>
      </w:r>
      <w:r>
        <w:rPr>
          <w:rStyle w:val="17"/>
          <w:rFonts w:hint="default" w:ascii="Times New Roman" w:hAnsi="Times New Roman" w:eastAsia="仿宋" w:cs="Times New Roman"/>
          <w:b w:val="0"/>
          <w:bCs/>
          <w:color w:val="auto"/>
          <w:sz w:val="32"/>
          <w:szCs w:val="32"/>
          <w:highlight w:val="none"/>
          <w:lang w:val="en-US" w:eastAsia="zh-CN"/>
        </w:rPr>
        <w:t>100</w:t>
      </w:r>
      <w:r>
        <w:rPr>
          <w:rStyle w:val="17"/>
          <w:rFonts w:hint="default" w:ascii="Times New Roman" w:hAnsi="Times New Roman" w:eastAsia="仿宋" w:cs="Times New Roman"/>
          <w:b w:val="0"/>
          <w:bCs/>
          <w:color w:val="auto"/>
          <w:sz w:val="32"/>
          <w:szCs w:val="32"/>
          <w:highlight w:val="none"/>
        </w:rPr>
        <w:t>%</w:t>
      </w:r>
      <w:r>
        <w:rPr>
          <w:rStyle w:val="17"/>
          <w:rFonts w:hint="default" w:ascii="Times New Roman" w:hAnsi="Times New Roman" w:eastAsia="仿宋" w:cs="Times New Roman"/>
          <w:b w:val="0"/>
          <w:bCs/>
          <w:color w:val="auto"/>
          <w:sz w:val="32"/>
          <w:szCs w:val="32"/>
          <w:highlight w:val="none"/>
          <w:lang w:val="en-US" w:eastAsia="zh-CN"/>
        </w:rPr>
        <w:t>.</w:t>
      </w:r>
    </w:p>
    <w:p w14:paraId="7889E774">
      <w:pPr>
        <w:spacing w:line="600" w:lineRule="exact"/>
        <w:ind w:firstLine="640" w:firstLineChars="200"/>
        <w:rPr>
          <w:rStyle w:val="17"/>
          <w:rFonts w:hint="default" w:ascii="Times New Roman" w:hAnsi="Times New Roman" w:eastAsia="仿宋" w:cs="Times New Roman"/>
          <w:b w:val="0"/>
          <w:bCs/>
          <w:color w:val="auto"/>
          <w:sz w:val="32"/>
          <w:szCs w:val="32"/>
          <w:highlight w:val="none"/>
        </w:rPr>
      </w:pPr>
      <w:r>
        <w:rPr>
          <w:rStyle w:val="17"/>
          <w:rFonts w:hint="default" w:ascii="Times New Roman" w:hAnsi="Times New Roman" w:eastAsia="仿宋" w:cs="Times New Roman"/>
          <w:b w:val="0"/>
          <w:bCs/>
          <w:color w:val="000000"/>
          <w:sz w:val="32"/>
          <w:szCs w:val="32"/>
          <w:lang w:val="en-US" w:eastAsia="zh-CN"/>
        </w:rPr>
        <w:t>2.</w:t>
      </w:r>
      <w:r>
        <w:rPr>
          <w:rStyle w:val="17"/>
          <w:rFonts w:hint="default" w:ascii="Times New Roman" w:hAnsi="Times New Roman" w:eastAsia="仿宋" w:cs="Times New Roman"/>
          <w:b w:val="0"/>
          <w:bCs/>
          <w:color w:val="000000"/>
          <w:sz w:val="32"/>
          <w:szCs w:val="32"/>
        </w:rPr>
        <w:t>一般公共服务（</w:t>
      </w:r>
      <w:r>
        <w:rPr>
          <w:rStyle w:val="17"/>
          <w:rFonts w:hint="default" w:ascii="Times New Roman" w:hAnsi="Times New Roman" w:eastAsia="仿宋" w:cs="Times New Roman"/>
          <w:b w:val="0"/>
          <w:bCs/>
          <w:color w:val="000000"/>
          <w:sz w:val="32"/>
          <w:szCs w:val="32"/>
          <w:lang w:val="en-US" w:eastAsia="zh-CN"/>
        </w:rPr>
        <w:t>201</w:t>
      </w:r>
      <w:r>
        <w:rPr>
          <w:rStyle w:val="17"/>
          <w:rFonts w:hint="default" w:ascii="Times New Roman" w:hAnsi="Times New Roman" w:eastAsia="仿宋" w:cs="Times New Roman"/>
          <w:b w:val="0"/>
          <w:bCs/>
          <w:color w:val="000000"/>
          <w:sz w:val="32"/>
          <w:szCs w:val="32"/>
        </w:rPr>
        <w:t>）</w:t>
      </w:r>
      <w:r>
        <w:rPr>
          <w:rStyle w:val="17"/>
          <w:rFonts w:hint="default" w:ascii="Times New Roman" w:hAnsi="Times New Roman" w:eastAsia="仿宋" w:cs="Times New Roman"/>
          <w:b w:val="0"/>
          <w:bCs/>
          <w:color w:val="000000"/>
          <w:sz w:val="32"/>
          <w:szCs w:val="32"/>
          <w:lang w:val="en-US" w:eastAsia="zh-CN"/>
        </w:rPr>
        <w:t>人大事务</w:t>
      </w:r>
      <w:r>
        <w:rPr>
          <w:rStyle w:val="17"/>
          <w:rFonts w:hint="default" w:ascii="Times New Roman" w:hAnsi="Times New Roman" w:eastAsia="仿宋" w:cs="Times New Roman"/>
          <w:b w:val="0"/>
          <w:bCs/>
          <w:color w:val="000000"/>
          <w:sz w:val="32"/>
          <w:szCs w:val="32"/>
        </w:rPr>
        <w:t>（</w:t>
      </w:r>
      <w:r>
        <w:rPr>
          <w:rStyle w:val="17"/>
          <w:rFonts w:hint="default" w:ascii="Times New Roman" w:hAnsi="Times New Roman" w:eastAsia="仿宋" w:cs="Times New Roman"/>
          <w:b w:val="0"/>
          <w:bCs/>
          <w:color w:val="000000"/>
          <w:sz w:val="32"/>
          <w:szCs w:val="32"/>
          <w:lang w:val="en-US" w:eastAsia="zh-CN"/>
        </w:rPr>
        <w:t>01</w:t>
      </w:r>
      <w:r>
        <w:rPr>
          <w:rStyle w:val="17"/>
          <w:rFonts w:hint="default" w:ascii="Times New Roman" w:hAnsi="Times New Roman" w:eastAsia="仿宋" w:cs="Times New Roman"/>
          <w:b w:val="0"/>
          <w:bCs/>
          <w:color w:val="000000"/>
          <w:sz w:val="32"/>
          <w:szCs w:val="32"/>
        </w:rPr>
        <w:t>）</w:t>
      </w:r>
      <w:r>
        <w:rPr>
          <w:rStyle w:val="17"/>
          <w:rFonts w:hint="default" w:ascii="Times New Roman" w:hAnsi="Times New Roman" w:eastAsia="仿宋" w:cs="Times New Roman"/>
          <w:b w:val="0"/>
          <w:bCs/>
          <w:color w:val="000000"/>
          <w:sz w:val="32"/>
          <w:szCs w:val="32"/>
          <w:lang w:val="en-US" w:eastAsia="zh-CN"/>
        </w:rPr>
        <w:t>人大会议</w:t>
      </w:r>
      <w:r>
        <w:rPr>
          <w:rStyle w:val="17"/>
          <w:rFonts w:hint="default" w:ascii="Times New Roman" w:hAnsi="Times New Roman" w:eastAsia="仿宋" w:cs="Times New Roman"/>
          <w:b w:val="0"/>
          <w:bCs/>
          <w:color w:val="000000"/>
          <w:sz w:val="32"/>
          <w:szCs w:val="32"/>
        </w:rPr>
        <w:t>（</w:t>
      </w:r>
      <w:r>
        <w:rPr>
          <w:rStyle w:val="17"/>
          <w:rFonts w:hint="default" w:ascii="Times New Roman" w:hAnsi="Times New Roman" w:eastAsia="仿宋" w:cs="Times New Roman"/>
          <w:b w:val="0"/>
          <w:bCs/>
          <w:color w:val="000000"/>
          <w:sz w:val="32"/>
          <w:szCs w:val="32"/>
          <w:lang w:val="en-US" w:eastAsia="zh-CN"/>
        </w:rPr>
        <w:t>04</w:t>
      </w:r>
      <w:r>
        <w:rPr>
          <w:rStyle w:val="17"/>
          <w:rFonts w:hint="default" w:ascii="Times New Roman" w:hAnsi="Times New Roman" w:eastAsia="仿宋" w:cs="Times New Roman"/>
          <w:b w:val="0"/>
          <w:bCs/>
          <w:color w:val="000000"/>
          <w:sz w:val="32"/>
          <w:szCs w:val="32"/>
        </w:rPr>
        <w:t>）: 支出决算为</w:t>
      </w:r>
      <w:r>
        <w:rPr>
          <w:rStyle w:val="17"/>
          <w:rFonts w:hint="eastAsia" w:ascii="Times New Roman" w:hAnsi="Times New Roman" w:eastAsia="仿宋" w:cs="Times New Roman"/>
          <w:b w:val="0"/>
          <w:bCs/>
          <w:color w:val="000000"/>
          <w:sz w:val="32"/>
          <w:szCs w:val="32"/>
          <w:lang w:val="en-US" w:eastAsia="zh-CN"/>
        </w:rPr>
        <w:t>172.67</w:t>
      </w:r>
      <w:r>
        <w:rPr>
          <w:rStyle w:val="17"/>
          <w:rFonts w:hint="default" w:ascii="Times New Roman" w:hAnsi="Times New Roman" w:eastAsia="仿宋" w:cs="Times New Roman"/>
          <w:b w:val="0"/>
          <w:bCs/>
          <w:color w:val="000000"/>
          <w:sz w:val="32"/>
          <w:szCs w:val="32"/>
        </w:rPr>
        <w:t>万元，</w:t>
      </w:r>
      <w:r>
        <w:rPr>
          <w:rStyle w:val="17"/>
          <w:rFonts w:hint="default" w:ascii="Times New Roman" w:hAnsi="Times New Roman" w:eastAsia="仿宋" w:cs="Times New Roman"/>
          <w:b w:val="0"/>
          <w:bCs/>
          <w:color w:val="auto"/>
          <w:sz w:val="32"/>
          <w:szCs w:val="32"/>
          <w:highlight w:val="none"/>
        </w:rPr>
        <w:t>完成预算</w:t>
      </w:r>
      <w:r>
        <w:rPr>
          <w:rStyle w:val="17"/>
          <w:rFonts w:hint="default" w:ascii="Times New Roman" w:hAnsi="Times New Roman" w:eastAsia="仿宋" w:cs="Times New Roman"/>
          <w:b w:val="0"/>
          <w:bCs/>
          <w:color w:val="auto"/>
          <w:sz w:val="32"/>
          <w:szCs w:val="32"/>
          <w:highlight w:val="none"/>
          <w:lang w:val="en-US" w:eastAsia="zh-CN"/>
        </w:rPr>
        <w:t>100</w:t>
      </w:r>
      <w:r>
        <w:rPr>
          <w:rStyle w:val="17"/>
          <w:rFonts w:hint="default" w:ascii="Times New Roman" w:hAnsi="Times New Roman" w:eastAsia="仿宋" w:cs="Times New Roman"/>
          <w:b w:val="0"/>
          <w:bCs/>
          <w:color w:val="auto"/>
          <w:sz w:val="32"/>
          <w:szCs w:val="32"/>
          <w:highlight w:val="none"/>
        </w:rPr>
        <w:t>%。</w:t>
      </w:r>
    </w:p>
    <w:p w14:paraId="53A2F38E">
      <w:pPr>
        <w:spacing w:line="600" w:lineRule="exact"/>
        <w:ind w:firstLine="640" w:firstLineChars="200"/>
        <w:rPr>
          <w:rStyle w:val="17"/>
          <w:rFonts w:hint="default" w:ascii="Times New Roman" w:hAnsi="Times New Roman" w:eastAsia="仿宋" w:cs="Times New Roman"/>
          <w:b w:val="0"/>
          <w:bCs/>
          <w:color w:val="auto"/>
          <w:sz w:val="32"/>
          <w:szCs w:val="32"/>
          <w:highlight w:val="none"/>
        </w:rPr>
      </w:pPr>
      <w:r>
        <w:rPr>
          <w:rStyle w:val="17"/>
          <w:rFonts w:hint="default" w:ascii="Times New Roman" w:hAnsi="Times New Roman" w:eastAsia="仿宋" w:cs="Times New Roman"/>
          <w:b w:val="0"/>
          <w:bCs/>
          <w:color w:val="000000"/>
          <w:sz w:val="32"/>
          <w:szCs w:val="32"/>
          <w:lang w:val="en-US" w:eastAsia="zh-CN"/>
        </w:rPr>
        <w:t>3.</w:t>
      </w:r>
      <w:r>
        <w:rPr>
          <w:rStyle w:val="17"/>
          <w:rFonts w:hint="default" w:ascii="Times New Roman" w:hAnsi="Times New Roman" w:eastAsia="仿宋" w:cs="Times New Roman"/>
          <w:b w:val="0"/>
          <w:bCs/>
          <w:color w:val="000000"/>
          <w:sz w:val="32"/>
          <w:szCs w:val="32"/>
        </w:rPr>
        <w:t>一般公共服务（</w:t>
      </w:r>
      <w:r>
        <w:rPr>
          <w:rStyle w:val="17"/>
          <w:rFonts w:hint="default" w:ascii="Times New Roman" w:hAnsi="Times New Roman" w:eastAsia="仿宋" w:cs="Times New Roman"/>
          <w:b w:val="0"/>
          <w:bCs/>
          <w:color w:val="000000"/>
          <w:sz w:val="32"/>
          <w:szCs w:val="32"/>
          <w:lang w:val="en-US" w:eastAsia="zh-CN"/>
        </w:rPr>
        <w:t>201</w:t>
      </w:r>
      <w:r>
        <w:rPr>
          <w:rStyle w:val="17"/>
          <w:rFonts w:hint="default" w:ascii="Times New Roman" w:hAnsi="Times New Roman" w:eastAsia="仿宋" w:cs="Times New Roman"/>
          <w:b w:val="0"/>
          <w:bCs/>
          <w:color w:val="000000"/>
          <w:sz w:val="32"/>
          <w:szCs w:val="32"/>
        </w:rPr>
        <w:t>）</w:t>
      </w:r>
      <w:r>
        <w:rPr>
          <w:rStyle w:val="17"/>
          <w:rFonts w:hint="default" w:ascii="Times New Roman" w:hAnsi="Times New Roman" w:eastAsia="仿宋" w:cs="Times New Roman"/>
          <w:b w:val="0"/>
          <w:bCs/>
          <w:color w:val="000000"/>
          <w:sz w:val="32"/>
          <w:szCs w:val="32"/>
          <w:lang w:val="en-US" w:eastAsia="zh-CN"/>
        </w:rPr>
        <w:t>人大事务</w:t>
      </w:r>
      <w:r>
        <w:rPr>
          <w:rStyle w:val="17"/>
          <w:rFonts w:hint="default" w:ascii="Times New Roman" w:hAnsi="Times New Roman" w:eastAsia="仿宋" w:cs="Times New Roman"/>
          <w:b w:val="0"/>
          <w:bCs/>
          <w:color w:val="000000"/>
          <w:sz w:val="32"/>
          <w:szCs w:val="32"/>
        </w:rPr>
        <w:t>（</w:t>
      </w:r>
      <w:r>
        <w:rPr>
          <w:rStyle w:val="17"/>
          <w:rFonts w:hint="default" w:ascii="Times New Roman" w:hAnsi="Times New Roman" w:eastAsia="仿宋" w:cs="Times New Roman"/>
          <w:b w:val="0"/>
          <w:bCs/>
          <w:color w:val="000000"/>
          <w:sz w:val="32"/>
          <w:szCs w:val="32"/>
          <w:lang w:val="en-US" w:eastAsia="zh-CN"/>
        </w:rPr>
        <w:t>01</w:t>
      </w:r>
      <w:r>
        <w:rPr>
          <w:rStyle w:val="17"/>
          <w:rFonts w:hint="default" w:ascii="Times New Roman" w:hAnsi="Times New Roman" w:eastAsia="仿宋" w:cs="Times New Roman"/>
          <w:b w:val="0"/>
          <w:bCs/>
          <w:color w:val="000000"/>
          <w:sz w:val="32"/>
          <w:szCs w:val="32"/>
        </w:rPr>
        <w:t>）</w:t>
      </w:r>
      <w:r>
        <w:rPr>
          <w:rStyle w:val="17"/>
          <w:rFonts w:hint="default" w:ascii="Times New Roman" w:hAnsi="Times New Roman" w:eastAsia="仿宋" w:cs="Times New Roman"/>
          <w:b w:val="0"/>
          <w:bCs/>
          <w:color w:val="000000"/>
          <w:sz w:val="32"/>
          <w:szCs w:val="32"/>
          <w:lang w:val="en-US" w:eastAsia="zh-CN"/>
        </w:rPr>
        <w:t>人大立法</w:t>
      </w:r>
      <w:r>
        <w:rPr>
          <w:rStyle w:val="17"/>
          <w:rFonts w:hint="default" w:ascii="Times New Roman" w:hAnsi="Times New Roman" w:eastAsia="仿宋" w:cs="Times New Roman"/>
          <w:b w:val="0"/>
          <w:bCs/>
          <w:color w:val="000000"/>
          <w:sz w:val="32"/>
          <w:szCs w:val="32"/>
        </w:rPr>
        <w:t>（</w:t>
      </w:r>
      <w:r>
        <w:rPr>
          <w:rStyle w:val="17"/>
          <w:rFonts w:hint="default" w:ascii="Times New Roman" w:hAnsi="Times New Roman" w:eastAsia="仿宋" w:cs="Times New Roman"/>
          <w:b w:val="0"/>
          <w:bCs/>
          <w:color w:val="000000"/>
          <w:sz w:val="32"/>
          <w:szCs w:val="32"/>
          <w:lang w:val="en-US" w:eastAsia="zh-CN"/>
        </w:rPr>
        <w:t>05</w:t>
      </w:r>
      <w:r>
        <w:rPr>
          <w:rStyle w:val="17"/>
          <w:rFonts w:hint="default" w:ascii="Times New Roman" w:hAnsi="Times New Roman" w:eastAsia="仿宋" w:cs="Times New Roman"/>
          <w:b w:val="0"/>
          <w:bCs/>
          <w:color w:val="000000"/>
          <w:sz w:val="32"/>
          <w:szCs w:val="32"/>
        </w:rPr>
        <w:t>）: 支出决算为</w:t>
      </w:r>
      <w:r>
        <w:rPr>
          <w:rStyle w:val="17"/>
          <w:rFonts w:hint="default" w:ascii="Times New Roman" w:hAnsi="Times New Roman" w:eastAsia="仿宋" w:cs="Times New Roman"/>
          <w:b w:val="0"/>
          <w:bCs/>
          <w:color w:val="000000"/>
          <w:sz w:val="32"/>
          <w:szCs w:val="32"/>
          <w:lang w:val="en-US" w:eastAsia="zh-CN"/>
        </w:rPr>
        <w:t>6</w:t>
      </w:r>
      <w:r>
        <w:rPr>
          <w:rStyle w:val="17"/>
          <w:rFonts w:hint="eastAsia" w:ascii="Times New Roman" w:hAnsi="Times New Roman" w:eastAsia="仿宋" w:cs="Times New Roman"/>
          <w:b w:val="0"/>
          <w:bCs/>
          <w:color w:val="000000"/>
          <w:sz w:val="32"/>
          <w:szCs w:val="32"/>
          <w:lang w:val="en-US" w:eastAsia="zh-CN"/>
        </w:rPr>
        <w:t>5</w:t>
      </w:r>
      <w:r>
        <w:rPr>
          <w:rStyle w:val="17"/>
          <w:rFonts w:hint="default" w:ascii="Times New Roman" w:hAnsi="Times New Roman" w:eastAsia="仿宋" w:cs="Times New Roman"/>
          <w:b w:val="0"/>
          <w:bCs/>
          <w:color w:val="000000"/>
          <w:sz w:val="32"/>
          <w:szCs w:val="32"/>
          <w:lang w:val="en-US" w:eastAsia="zh-CN"/>
        </w:rPr>
        <w:t>.00</w:t>
      </w:r>
      <w:r>
        <w:rPr>
          <w:rStyle w:val="17"/>
          <w:rFonts w:hint="default" w:ascii="Times New Roman" w:hAnsi="Times New Roman" w:eastAsia="仿宋" w:cs="Times New Roman"/>
          <w:b w:val="0"/>
          <w:bCs/>
          <w:color w:val="000000"/>
          <w:sz w:val="32"/>
          <w:szCs w:val="32"/>
        </w:rPr>
        <w:t>万元，</w:t>
      </w:r>
      <w:r>
        <w:rPr>
          <w:rStyle w:val="17"/>
          <w:rFonts w:hint="default" w:ascii="Times New Roman" w:hAnsi="Times New Roman" w:eastAsia="仿宋" w:cs="Times New Roman"/>
          <w:b w:val="0"/>
          <w:bCs/>
          <w:color w:val="auto"/>
          <w:sz w:val="32"/>
          <w:szCs w:val="32"/>
          <w:highlight w:val="none"/>
        </w:rPr>
        <w:t>完成预算</w:t>
      </w:r>
      <w:r>
        <w:rPr>
          <w:rStyle w:val="17"/>
          <w:rFonts w:hint="default" w:ascii="Times New Roman" w:hAnsi="Times New Roman" w:eastAsia="仿宋" w:cs="Times New Roman"/>
          <w:b w:val="0"/>
          <w:bCs/>
          <w:color w:val="auto"/>
          <w:sz w:val="32"/>
          <w:szCs w:val="32"/>
          <w:highlight w:val="none"/>
          <w:lang w:val="en-US" w:eastAsia="zh-CN"/>
        </w:rPr>
        <w:t>100</w:t>
      </w:r>
      <w:r>
        <w:rPr>
          <w:rStyle w:val="17"/>
          <w:rFonts w:hint="default" w:ascii="Times New Roman" w:hAnsi="Times New Roman" w:eastAsia="仿宋" w:cs="Times New Roman"/>
          <w:b w:val="0"/>
          <w:bCs/>
          <w:color w:val="auto"/>
          <w:sz w:val="32"/>
          <w:szCs w:val="32"/>
          <w:highlight w:val="none"/>
        </w:rPr>
        <w:t>%。</w:t>
      </w:r>
    </w:p>
    <w:p w14:paraId="118243C6">
      <w:pPr>
        <w:spacing w:line="600" w:lineRule="exact"/>
        <w:ind w:firstLine="643" w:firstLineChars="200"/>
        <w:rPr>
          <w:rStyle w:val="17"/>
          <w:rFonts w:hint="default" w:ascii="Times New Roman" w:hAnsi="Times New Roman" w:eastAsia="仿宋" w:cs="Times New Roman"/>
          <w:b w:val="0"/>
          <w:bCs w:val="0"/>
          <w:color w:val="auto"/>
          <w:sz w:val="32"/>
          <w:szCs w:val="32"/>
          <w:highlight w:val="none"/>
        </w:rPr>
      </w:pPr>
      <w:r>
        <w:rPr>
          <w:rStyle w:val="17"/>
          <w:rFonts w:hint="eastAsia" w:ascii="仿宋" w:hAnsi="仿宋" w:eastAsia="仿宋"/>
          <w:bCs/>
          <w:color w:val="000000"/>
          <w:sz w:val="32"/>
          <w:szCs w:val="32"/>
          <w:lang w:val="en-US" w:eastAsia="zh-CN"/>
        </w:rPr>
        <w:t>4.</w:t>
      </w:r>
      <w:r>
        <w:rPr>
          <w:rStyle w:val="17"/>
          <w:rFonts w:hint="default" w:ascii="Times New Roman" w:hAnsi="Times New Roman" w:eastAsia="仿宋" w:cs="Times New Roman"/>
          <w:b w:val="0"/>
          <w:bCs w:val="0"/>
          <w:color w:val="000000"/>
          <w:sz w:val="32"/>
          <w:szCs w:val="32"/>
        </w:rPr>
        <w:t>一般公共服务（</w:t>
      </w:r>
      <w:r>
        <w:rPr>
          <w:rStyle w:val="17"/>
          <w:rFonts w:hint="default" w:ascii="Times New Roman" w:hAnsi="Times New Roman" w:eastAsia="仿宋" w:cs="Times New Roman"/>
          <w:b w:val="0"/>
          <w:bCs w:val="0"/>
          <w:color w:val="000000"/>
          <w:sz w:val="32"/>
          <w:szCs w:val="32"/>
          <w:lang w:val="en-US" w:eastAsia="zh-CN"/>
        </w:rPr>
        <w:t>201</w:t>
      </w:r>
      <w:r>
        <w:rPr>
          <w:rStyle w:val="17"/>
          <w:rFonts w:hint="default" w:ascii="Times New Roman" w:hAnsi="Times New Roman" w:eastAsia="仿宋" w:cs="Times New Roman"/>
          <w:b w:val="0"/>
          <w:bCs w:val="0"/>
          <w:color w:val="000000"/>
          <w:sz w:val="32"/>
          <w:szCs w:val="32"/>
        </w:rPr>
        <w:t>）</w:t>
      </w:r>
      <w:r>
        <w:rPr>
          <w:rStyle w:val="17"/>
          <w:rFonts w:hint="default" w:ascii="Times New Roman" w:hAnsi="Times New Roman" w:eastAsia="仿宋" w:cs="Times New Roman"/>
          <w:b w:val="0"/>
          <w:bCs w:val="0"/>
          <w:color w:val="000000"/>
          <w:sz w:val="32"/>
          <w:szCs w:val="32"/>
          <w:lang w:val="en-US" w:eastAsia="zh-CN"/>
        </w:rPr>
        <w:t>人大事务</w:t>
      </w:r>
      <w:r>
        <w:rPr>
          <w:rStyle w:val="17"/>
          <w:rFonts w:hint="default" w:ascii="Times New Roman" w:hAnsi="Times New Roman" w:eastAsia="仿宋" w:cs="Times New Roman"/>
          <w:b w:val="0"/>
          <w:bCs w:val="0"/>
          <w:color w:val="000000"/>
          <w:sz w:val="32"/>
          <w:szCs w:val="32"/>
        </w:rPr>
        <w:t>（</w:t>
      </w:r>
      <w:r>
        <w:rPr>
          <w:rStyle w:val="17"/>
          <w:rFonts w:hint="default" w:ascii="Times New Roman" w:hAnsi="Times New Roman" w:eastAsia="仿宋" w:cs="Times New Roman"/>
          <w:b w:val="0"/>
          <w:bCs w:val="0"/>
          <w:color w:val="000000"/>
          <w:sz w:val="32"/>
          <w:szCs w:val="32"/>
          <w:lang w:val="en-US" w:eastAsia="zh-CN"/>
        </w:rPr>
        <w:t>01</w:t>
      </w:r>
      <w:r>
        <w:rPr>
          <w:rStyle w:val="17"/>
          <w:rFonts w:hint="default" w:ascii="Times New Roman" w:hAnsi="Times New Roman" w:eastAsia="仿宋" w:cs="Times New Roman"/>
          <w:b w:val="0"/>
          <w:bCs w:val="0"/>
          <w:color w:val="000000"/>
          <w:sz w:val="32"/>
          <w:szCs w:val="32"/>
        </w:rPr>
        <w:t>）</w:t>
      </w:r>
      <w:r>
        <w:rPr>
          <w:rStyle w:val="17"/>
          <w:rFonts w:hint="default" w:ascii="Times New Roman" w:hAnsi="Times New Roman" w:eastAsia="仿宋" w:cs="Times New Roman"/>
          <w:b w:val="0"/>
          <w:bCs w:val="0"/>
          <w:color w:val="000000"/>
          <w:sz w:val="32"/>
          <w:szCs w:val="32"/>
          <w:lang w:val="en-US" w:eastAsia="zh-CN"/>
        </w:rPr>
        <w:t>人大监督</w:t>
      </w:r>
      <w:r>
        <w:rPr>
          <w:rStyle w:val="17"/>
          <w:rFonts w:hint="default" w:ascii="Times New Roman" w:hAnsi="Times New Roman" w:eastAsia="仿宋" w:cs="Times New Roman"/>
          <w:b w:val="0"/>
          <w:bCs w:val="0"/>
          <w:color w:val="000000"/>
          <w:sz w:val="32"/>
          <w:szCs w:val="32"/>
        </w:rPr>
        <w:t>（</w:t>
      </w:r>
      <w:r>
        <w:rPr>
          <w:rStyle w:val="17"/>
          <w:rFonts w:hint="default" w:ascii="Times New Roman" w:hAnsi="Times New Roman" w:eastAsia="仿宋" w:cs="Times New Roman"/>
          <w:b w:val="0"/>
          <w:bCs w:val="0"/>
          <w:color w:val="000000"/>
          <w:sz w:val="32"/>
          <w:szCs w:val="32"/>
          <w:lang w:val="en-US" w:eastAsia="zh-CN"/>
        </w:rPr>
        <w:t>06</w:t>
      </w:r>
      <w:r>
        <w:rPr>
          <w:rStyle w:val="17"/>
          <w:rFonts w:hint="default" w:ascii="Times New Roman" w:hAnsi="Times New Roman" w:eastAsia="仿宋" w:cs="Times New Roman"/>
          <w:b w:val="0"/>
          <w:bCs w:val="0"/>
          <w:color w:val="000000"/>
          <w:sz w:val="32"/>
          <w:szCs w:val="32"/>
        </w:rPr>
        <w:t>）: 支出决算为</w:t>
      </w:r>
      <w:r>
        <w:rPr>
          <w:rStyle w:val="17"/>
          <w:rFonts w:hint="eastAsia" w:ascii="Times New Roman" w:hAnsi="Times New Roman" w:eastAsia="仿宋" w:cs="Times New Roman"/>
          <w:b w:val="0"/>
          <w:bCs w:val="0"/>
          <w:color w:val="000000"/>
          <w:sz w:val="32"/>
          <w:szCs w:val="32"/>
          <w:lang w:val="en-US" w:eastAsia="zh-CN"/>
        </w:rPr>
        <w:t>57.85</w:t>
      </w:r>
      <w:r>
        <w:rPr>
          <w:rStyle w:val="17"/>
          <w:rFonts w:hint="default" w:ascii="Times New Roman" w:hAnsi="Times New Roman" w:eastAsia="仿宋" w:cs="Times New Roman"/>
          <w:b w:val="0"/>
          <w:bCs w:val="0"/>
          <w:color w:val="000000"/>
          <w:sz w:val="32"/>
          <w:szCs w:val="32"/>
        </w:rPr>
        <w:t>万元，</w:t>
      </w:r>
      <w:r>
        <w:rPr>
          <w:rStyle w:val="17"/>
          <w:rFonts w:hint="default" w:ascii="Times New Roman" w:hAnsi="Times New Roman" w:eastAsia="仿宋" w:cs="Times New Roman"/>
          <w:b w:val="0"/>
          <w:bCs w:val="0"/>
          <w:color w:val="auto"/>
          <w:sz w:val="32"/>
          <w:szCs w:val="32"/>
          <w:highlight w:val="none"/>
        </w:rPr>
        <w:t>完成预算</w:t>
      </w:r>
      <w:r>
        <w:rPr>
          <w:rStyle w:val="17"/>
          <w:rFonts w:hint="default" w:ascii="Times New Roman" w:hAnsi="Times New Roman" w:eastAsia="仿宋" w:cs="Times New Roman"/>
          <w:b w:val="0"/>
          <w:bCs w:val="0"/>
          <w:color w:val="auto"/>
          <w:sz w:val="32"/>
          <w:szCs w:val="32"/>
          <w:highlight w:val="none"/>
          <w:lang w:val="en-US" w:eastAsia="zh-CN"/>
        </w:rPr>
        <w:t>100</w:t>
      </w:r>
      <w:r>
        <w:rPr>
          <w:rStyle w:val="17"/>
          <w:rFonts w:hint="default" w:ascii="Times New Roman" w:hAnsi="Times New Roman" w:eastAsia="仿宋" w:cs="Times New Roman"/>
          <w:b w:val="0"/>
          <w:bCs w:val="0"/>
          <w:color w:val="auto"/>
          <w:sz w:val="32"/>
          <w:szCs w:val="32"/>
          <w:highlight w:val="none"/>
        </w:rPr>
        <w:t>%。</w:t>
      </w:r>
    </w:p>
    <w:p w14:paraId="2F8AD560">
      <w:pPr>
        <w:spacing w:line="600" w:lineRule="exact"/>
        <w:ind w:firstLine="640" w:firstLineChars="200"/>
        <w:rPr>
          <w:rStyle w:val="17"/>
          <w:rFonts w:hint="default" w:ascii="Times New Roman" w:hAnsi="Times New Roman" w:eastAsia="仿宋" w:cs="Times New Roman"/>
          <w:b w:val="0"/>
          <w:bCs w:val="0"/>
          <w:color w:val="auto"/>
          <w:sz w:val="32"/>
          <w:szCs w:val="32"/>
          <w:highlight w:val="none"/>
        </w:rPr>
      </w:pPr>
      <w:r>
        <w:rPr>
          <w:rStyle w:val="17"/>
          <w:rFonts w:hint="default" w:ascii="Times New Roman" w:hAnsi="Times New Roman" w:eastAsia="仿宋" w:cs="Times New Roman"/>
          <w:b w:val="0"/>
          <w:bCs w:val="0"/>
          <w:color w:val="000000"/>
          <w:sz w:val="32"/>
          <w:szCs w:val="32"/>
          <w:lang w:val="en-US" w:eastAsia="zh-CN"/>
        </w:rPr>
        <w:t>5.</w:t>
      </w:r>
      <w:r>
        <w:rPr>
          <w:rStyle w:val="17"/>
          <w:rFonts w:hint="default" w:ascii="Times New Roman" w:hAnsi="Times New Roman" w:eastAsia="仿宋" w:cs="Times New Roman"/>
          <w:b w:val="0"/>
          <w:bCs w:val="0"/>
          <w:color w:val="000000"/>
          <w:sz w:val="32"/>
          <w:szCs w:val="32"/>
        </w:rPr>
        <w:t>一般公共服务（</w:t>
      </w:r>
      <w:r>
        <w:rPr>
          <w:rStyle w:val="17"/>
          <w:rFonts w:hint="default" w:ascii="Times New Roman" w:hAnsi="Times New Roman" w:eastAsia="仿宋" w:cs="Times New Roman"/>
          <w:b w:val="0"/>
          <w:bCs w:val="0"/>
          <w:color w:val="000000"/>
          <w:sz w:val="32"/>
          <w:szCs w:val="32"/>
          <w:lang w:val="en-US" w:eastAsia="zh-CN"/>
        </w:rPr>
        <w:t>201</w:t>
      </w:r>
      <w:r>
        <w:rPr>
          <w:rStyle w:val="17"/>
          <w:rFonts w:hint="default" w:ascii="Times New Roman" w:hAnsi="Times New Roman" w:eastAsia="仿宋" w:cs="Times New Roman"/>
          <w:b w:val="0"/>
          <w:bCs w:val="0"/>
          <w:color w:val="000000"/>
          <w:sz w:val="32"/>
          <w:szCs w:val="32"/>
        </w:rPr>
        <w:t>）</w:t>
      </w:r>
      <w:r>
        <w:rPr>
          <w:rStyle w:val="17"/>
          <w:rFonts w:hint="default" w:ascii="Times New Roman" w:hAnsi="Times New Roman" w:eastAsia="仿宋" w:cs="Times New Roman"/>
          <w:b w:val="0"/>
          <w:bCs w:val="0"/>
          <w:color w:val="000000"/>
          <w:sz w:val="32"/>
          <w:szCs w:val="32"/>
          <w:lang w:val="en-US" w:eastAsia="zh-CN"/>
        </w:rPr>
        <w:t>人大事务</w:t>
      </w:r>
      <w:r>
        <w:rPr>
          <w:rStyle w:val="17"/>
          <w:rFonts w:hint="default" w:ascii="Times New Roman" w:hAnsi="Times New Roman" w:eastAsia="仿宋" w:cs="Times New Roman"/>
          <w:b w:val="0"/>
          <w:bCs w:val="0"/>
          <w:color w:val="000000"/>
          <w:sz w:val="32"/>
          <w:szCs w:val="32"/>
        </w:rPr>
        <w:t>（</w:t>
      </w:r>
      <w:r>
        <w:rPr>
          <w:rStyle w:val="17"/>
          <w:rFonts w:hint="default" w:ascii="Times New Roman" w:hAnsi="Times New Roman" w:eastAsia="仿宋" w:cs="Times New Roman"/>
          <w:b w:val="0"/>
          <w:bCs w:val="0"/>
          <w:color w:val="000000"/>
          <w:sz w:val="32"/>
          <w:szCs w:val="32"/>
          <w:lang w:val="en-US" w:eastAsia="zh-CN"/>
        </w:rPr>
        <w:t>01</w:t>
      </w:r>
      <w:r>
        <w:rPr>
          <w:rStyle w:val="17"/>
          <w:rFonts w:hint="default" w:ascii="Times New Roman" w:hAnsi="Times New Roman" w:eastAsia="仿宋" w:cs="Times New Roman"/>
          <w:b w:val="0"/>
          <w:bCs w:val="0"/>
          <w:color w:val="000000"/>
          <w:sz w:val="32"/>
          <w:szCs w:val="32"/>
        </w:rPr>
        <w:t>）</w:t>
      </w:r>
      <w:r>
        <w:rPr>
          <w:rStyle w:val="17"/>
          <w:rFonts w:hint="default" w:ascii="Times New Roman" w:hAnsi="Times New Roman" w:eastAsia="仿宋" w:cs="Times New Roman"/>
          <w:b w:val="0"/>
          <w:bCs w:val="0"/>
          <w:color w:val="000000"/>
          <w:sz w:val="32"/>
          <w:szCs w:val="32"/>
          <w:lang w:val="en-US" w:eastAsia="zh-CN"/>
        </w:rPr>
        <w:t>人大代表履职能力提升</w:t>
      </w:r>
      <w:r>
        <w:rPr>
          <w:rStyle w:val="17"/>
          <w:rFonts w:hint="default" w:ascii="Times New Roman" w:hAnsi="Times New Roman" w:eastAsia="仿宋" w:cs="Times New Roman"/>
          <w:b w:val="0"/>
          <w:bCs w:val="0"/>
          <w:color w:val="000000"/>
          <w:sz w:val="32"/>
          <w:szCs w:val="32"/>
        </w:rPr>
        <w:t>（</w:t>
      </w:r>
      <w:r>
        <w:rPr>
          <w:rStyle w:val="17"/>
          <w:rFonts w:hint="default" w:ascii="Times New Roman" w:hAnsi="Times New Roman" w:eastAsia="仿宋" w:cs="Times New Roman"/>
          <w:b w:val="0"/>
          <w:bCs w:val="0"/>
          <w:color w:val="000000"/>
          <w:sz w:val="32"/>
          <w:szCs w:val="32"/>
          <w:lang w:val="en-US" w:eastAsia="zh-CN"/>
        </w:rPr>
        <w:t>07</w:t>
      </w:r>
      <w:r>
        <w:rPr>
          <w:rStyle w:val="17"/>
          <w:rFonts w:hint="default" w:ascii="Times New Roman" w:hAnsi="Times New Roman" w:eastAsia="仿宋" w:cs="Times New Roman"/>
          <w:b w:val="0"/>
          <w:bCs w:val="0"/>
          <w:color w:val="000000"/>
          <w:sz w:val="32"/>
          <w:szCs w:val="32"/>
        </w:rPr>
        <w:t>）: 支出决算为</w:t>
      </w:r>
      <w:r>
        <w:rPr>
          <w:rStyle w:val="17"/>
          <w:rFonts w:hint="eastAsia" w:ascii="Times New Roman" w:hAnsi="Times New Roman" w:eastAsia="仿宋" w:cs="Times New Roman"/>
          <w:b w:val="0"/>
          <w:bCs w:val="0"/>
          <w:color w:val="000000"/>
          <w:sz w:val="32"/>
          <w:szCs w:val="32"/>
          <w:lang w:val="en-US" w:eastAsia="zh-CN"/>
        </w:rPr>
        <w:t>60.29</w:t>
      </w:r>
      <w:r>
        <w:rPr>
          <w:rStyle w:val="17"/>
          <w:rFonts w:hint="default" w:ascii="Times New Roman" w:hAnsi="Times New Roman" w:eastAsia="仿宋" w:cs="Times New Roman"/>
          <w:b w:val="0"/>
          <w:bCs w:val="0"/>
          <w:color w:val="000000"/>
          <w:sz w:val="32"/>
          <w:szCs w:val="32"/>
        </w:rPr>
        <w:t>万元，</w:t>
      </w:r>
      <w:r>
        <w:rPr>
          <w:rStyle w:val="17"/>
          <w:rFonts w:hint="default" w:ascii="Times New Roman" w:hAnsi="Times New Roman" w:eastAsia="仿宋" w:cs="Times New Roman"/>
          <w:b w:val="0"/>
          <w:bCs w:val="0"/>
          <w:color w:val="auto"/>
          <w:sz w:val="32"/>
          <w:szCs w:val="32"/>
          <w:highlight w:val="none"/>
        </w:rPr>
        <w:t>完成预算</w:t>
      </w:r>
      <w:r>
        <w:rPr>
          <w:rStyle w:val="17"/>
          <w:rFonts w:hint="default" w:ascii="Times New Roman" w:hAnsi="Times New Roman" w:eastAsia="仿宋" w:cs="Times New Roman"/>
          <w:b w:val="0"/>
          <w:bCs w:val="0"/>
          <w:color w:val="auto"/>
          <w:sz w:val="32"/>
          <w:szCs w:val="32"/>
          <w:highlight w:val="none"/>
          <w:lang w:val="en-US" w:eastAsia="zh-CN"/>
        </w:rPr>
        <w:t>100</w:t>
      </w:r>
      <w:r>
        <w:rPr>
          <w:rStyle w:val="17"/>
          <w:rFonts w:hint="default" w:ascii="Times New Roman" w:hAnsi="Times New Roman" w:eastAsia="仿宋" w:cs="Times New Roman"/>
          <w:b w:val="0"/>
          <w:bCs w:val="0"/>
          <w:color w:val="auto"/>
          <w:sz w:val="32"/>
          <w:szCs w:val="32"/>
          <w:highlight w:val="none"/>
        </w:rPr>
        <w:t>%。</w:t>
      </w:r>
    </w:p>
    <w:p w14:paraId="2A46386C">
      <w:pPr>
        <w:spacing w:line="600" w:lineRule="exact"/>
        <w:ind w:firstLine="640" w:firstLineChars="200"/>
        <w:rPr>
          <w:rStyle w:val="17"/>
          <w:rFonts w:hint="default" w:ascii="Times New Roman" w:hAnsi="Times New Roman" w:eastAsia="仿宋" w:cs="Times New Roman"/>
          <w:b w:val="0"/>
          <w:bCs w:val="0"/>
          <w:color w:val="auto"/>
          <w:sz w:val="32"/>
          <w:szCs w:val="32"/>
          <w:highlight w:val="none"/>
        </w:rPr>
      </w:pPr>
      <w:r>
        <w:rPr>
          <w:rStyle w:val="17"/>
          <w:rFonts w:hint="default" w:ascii="Times New Roman" w:hAnsi="Times New Roman" w:eastAsia="仿宋" w:cs="Times New Roman"/>
          <w:b w:val="0"/>
          <w:bCs w:val="0"/>
          <w:color w:val="000000"/>
          <w:sz w:val="32"/>
          <w:szCs w:val="32"/>
          <w:lang w:val="en-US" w:eastAsia="zh-CN"/>
        </w:rPr>
        <w:t>6.</w:t>
      </w:r>
      <w:r>
        <w:rPr>
          <w:rStyle w:val="17"/>
          <w:rFonts w:hint="default" w:ascii="Times New Roman" w:hAnsi="Times New Roman" w:eastAsia="仿宋" w:cs="Times New Roman"/>
          <w:b w:val="0"/>
          <w:bCs w:val="0"/>
          <w:color w:val="000000"/>
          <w:sz w:val="32"/>
          <w:szCs w:val="32"/>
        </w:rPr>
        <w:t>一般公共服务（</w:t>
      </w:r>
      <w:r>
        <w:rPr>
          <w:rStyle w:val="17"/>
          <w:rFonts w:hint="default" w:ascii="Times New Roman" w:hAnsi="Times New Roman" w:eastAsia="仿宋" w:cs="Times New Roman"/>
          <w:b w:val="0"/>
          <w:bCs w:val="0"/>
          <w:color w:val="000000"/>
          <w:sz w:val="32"/>
          <w:szCs w:val="32"/>
          <w:lang w:val="en-US" w:eastAsia="zh-CN"/>
        </w:rPr>
        <w:t>201</w:t>
      </w:r>
      <w:r>
        <w:rPr>
          <w:rStyle w:val="17"/>
          <w:rFonts w:hint="default" w:ascii="Times New Roman" w:hAnsi="Times New Roman" w:eastAsia="仿宋" w:cs="Times New Roman"/>
          <w:b w:val="0"/>
          <w:bCs w:val="0"/>
          <w:color w:val="000000"/>
          <w:sz w:val="32"/>
          <w:szCs w:val="32"/>
        </w:rPr>
        <w:t>）</w:t>
      </w:r>
      <w:r>
        <w:rPr>
          <w:rStyle w:val="17"/>
          <w:rFonts w:hint="default" w:ascii="Times New Roman" w:hAnsi="Times New Roman" w:eastAsia="仿宋" w:cs="Times New Roman"/>
          <w:b w:val="0"/>
          <w:bCs w:val="0"/>
          <w:color w:val="000000"/>
          <w:sz w:val="32"/>
          <w:szCs w:val="32"/>
          <w:lang w:val="en-US" w:eastAsia="zh-CN"/>
        </w:rPr>
        <w:t>人大事务</w:t>
      </w:r>
      <w:r>
        <w:rPr>
          <w:rStyle w:val="17"/>
          <w:rFonts w:hint="default" w:ascii="Times New Roman" w:hAnsi="Times New Roman" w:eastAsia="仿宋" w:cs="Times New Roman"/>
          <w:b w:val="0"/>
          <w:bCs w:val="0"/>
          <w:color w:val="000000"/>
          <w:sz w:val="32"/>
          <w:szCs w:val="32"/>
        </w:rPr>
        <w:t>（</w:t>
      </w:r>
      <w:r>
        <w:rPr>
          <w:rStyle w:val="17"/>
          <w:rFonts w:hint="default" w:ascii="Times New Roman" w:hAnsi="Times New Roman" w:eastAsia="仿宋" w:cs="Times New Roman"/>
          <w:b w:val="0"/>
          <w:bCs w:val="0"/>
          <w:color w:val="000000"/>
          <w:sz w:val="32"/>
          <w:szCs w:val="32"/>
          <w:lang w:val="en-US" w:eastAsia="zh-CN"/>
        </w:rPr>
        <w:t>01</w:t>
      </w:r>
      <w:r>
        <w:rPr>
          <w:rStyle w:val="17"/>
          <w:rFonts w:hint="default" w:ascii="Times New Roman" w:hAnsi="Times New Roman" w:eastAsia="仿宋" w:cs="Times New Roman"/>
          <w:b w:val="0"/>
          <w:bCs w:val="0"/>
          <w:color w:val="000000"/>
          <w:sz w:val="32"/>
          <w:szCs w:val="32"/>
        </w:rPr>
        <w:t>）</w:t>
      </w:r>
      <w:r>
        <w:rPr>
          <w:rStyle w:val="17"/>
          <w:rFonts w:hint="default" w:ascii="Times New Roman" w:hAnsi="Times New Roman" w:eastAsia="仿宋" w:cs="Times New Roman"/>
          <w:b w:val="0"/>
          <w:bCs w:val="0"/>
          <w:color w:val="000000"/>
          <w:sz w:val="32"/>
          <w:szCs w:val="32"/>
          <w:lang w:val="en-US" w:eastAsia="zh-CN"/>
        </w:rPr>
        <w:t>代表工作</w:t>
      </w:r>
      <w:r>
        <w:rPr>
          <w:rStyle w:val="17"/>
          <w:rFonts w:hint="default" w:ascii="Times New Roman" w:hAnsi="Times New Roman" w:eastAsia="仿宋" w:cs="Times New Roman"/>
          <w:b w:val="0"/>
          <w:bCs w:val="0"/>
          <w:color w:val="000000"/>
          <w:sz w:val="32"/>
          <w:szCs w:val="32"/>
        </w:rPr>
        <w:t>（</w:t>
      </w:r>
      <w:r>
        <w:rPr>
          <w:rStyle w:val="17"/>
          <w:rFonts w:hint="default" w:ascii="Times New Roman" w:hAnsi="Times New Roman" w:eastAsia="仿宋" w:cs="Times New Roman"/>
          <w:b w:val="0"/>
          <w:bCs w:val="0"/>
          <w:color w:val="000000"/>
          <w:sz w:val="32"/>
          <w:szCs w:val="32"/>
          <w:lang w:val="en-US" w:eastAsia="zh-CN"/>
        </w:rPr>
        <w:t>08</w:t>
      </w:r>
      <w:r>
        <w:rPr>
          <w:rStyle w:val="17"/>
          <w:rFonts w:hint="default" w:ascii="Times New Roman" w:hAnsi="Times New Roman" w:eastAsia="仿宋" w:cs="Times New Roman"/>
          <w:b w:val="0"/>
          <w:bCs w:val="0"/>
          <w:color w:val="000000"/>
          <w:sz w:val="32"/>
          <w:szCs w:val="32"/>
        </w:rPr>
        <w:t>）: 支出决算为</w:t>
      </w:r>
      <w:r>
        <w:rPr>
          <w:rStyle w:val="17"/>
          <w:rFonts w:hint="eastAsia" w:ascii="Times New Roman" w:hAnsi="Times New Roman" w:eastAsia="仿宋" w:cs="Times New Roman"/>
          <w:b w:val="0"/>
          <w:bCs w:val="0"/>
          <w:color w:val="000000"/>
          <w:sz w:val="32"/>
          <w:szCs w:val="32"/>
          <w:lang w:val="en-US" w:eastAsia="zh-CN"/>
        </w:rPr>
        <w:t>110.65</w:t>
      </w:r>
      <w:r>
        <w:rPr>
          <w:rStyle w:val="17"/>
          <w:rFonts w:hint="default" w:ascii="Times New Roman" w:hAnsi="Times New Roman" w:eastAsia="仿宋" w:cs="Times New Roman"/>
          <w:b w:val="0"/>
          <w:bCs w:val="0"/>
          <w:color w:val="000000"/>
          <w:sz w:val="32"/>
          <w:szCs w:val="32"/>
        </w:rPr>
        <w:t>万元，</w:t>
      </w:r>
      <w:r>
        <w:rPr>
          <w:rStyle w:val="17"/>
          <w:rFonts w:hint="default" w:ascii="Times New Roman" w:hAnsi="Times New Roman" w:eastAsia="仿宋" w:cs="Times New Roman"/>
          <w:b w:val="0"/>
          <w:bCs w:val="0"/>
          <w:color w:val="auto"/>
          <w:sz w:val="32"/>
          <w:szCs w:val="32"/>
          <w:highlight w:val="none"/>
        </w:rPr>
        <w:t>完成预算</w:t>
      </w:r>
      <w:r>
        <w:rPr>
          <w:rStyle w:val="17"/>
          <w:rFonts w:hint="default" w:ascii="Times New Roman" w:hAnsi="Times New Roman" w:eastAsia="仿宋" w:cs="Times New Roman"/>
          <w:b w:val="0"/>
          <w:bCs w:val="0"/>
          <w:color w:val="auto"/>
          <w:sz w:val="32"/>
          <w:szCs w:val="32"/>
          <w:highlight w:val="none"/>
          <w:lang w:val="en-US" w:eastAsia="zh-CN"/>
        </w:rPr>
        <w:t>100</w:t>
      </w:r>
      <w:r>
        <w:rPr>
          <w:rStyle w:val="17"/>
          <w:rFonts w:hint="default" w:ascii="Times New Roman" w:hAnsi="Times New Roman" w:eastAsia="仿宋" w:cs="Times New Roman"/>
          <w:b w:val="0"/>
          <w:bCs w:val="0"/>
          <w:color w:val="auto"/>
          <w:sz w:val="32"/>
          <w:szCs w:val="32"/>
          <w:highlight w:val="none"/>
        </w:rPr>
        <w:t>%。</w:t>
      </w:r>
    </w:p>
    <w:p w14:paraId="77C8C669">
      <w:pPr>
        <w:pStyle w:val="1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Style w:val="17"/>
          <w:rFonts w:hint="default" w:ascii="Times New Roman" w:hAnsi="Times New Roman" w:eastAsia="仿宋" w:cs="Times New Roman"/>
          <w:b w:val="0"/>
          <w:bCs w:val="0"/>
          <w:color w:val="auto"/>
          <w:sz w:val="32"/>
          <w:szCs w:val="32"/>
          <w:highlight w:val="none"/>
        </w:rPr>
      </w:pPr>
      <w:r>
        <w:rPr>
          <w:rStyle w:val="17"/>
          <w:rFonts w:hint="default" w:ascii="Times New Roman" w:hAnsi="Times New Roman" w:eastAsia="仿宋" w:cs="Times New Roman"/>
          <w:b w:val="0"/>
          <w:bCs w:val="0"/>
          <w:color w:val="000000"/>
          <w:sz w:val="32"/>
          <w:szCs w:val="32"/>
          <w:lang w:val="en-US" w:eastAsia="zh-CN"/>
        </w:rPr>
        <w:t>7.</w:t>
      </w:r>
      <w:r>
        <w:rPr>
          <w:rStyle w:val="17"/>
          <w:rFonts w:hint="default" w:ascii="Times New Roman" w:hAnsi="Times New Roman" w:eastAsia="仿宋" w:cs="Times New Roman"/>
          <w:b w:val="0"/>
          <w:bCs w:val="0"/>
          <w:color w:val="000000"/>
          <w:sz w:val="32"/>
          <w:szCs w:val="32"/>
        </w:rPr>
        <w:t>一般公共服务（</w:t>
      </w:r>
      <w:r>
        <w:rPr>
          <w:rStyle w:val="17"/>
          <w:rFonts w:hint="default" w:ascii="Times New Roman" w:hAnsi="Times New Roman" w:eastAsia="仿宋" w:cs="Times New Roman"/>
          <w:b w:val="0"/>
          <w:bCs w:val="0"/>
          <w:color w:val="000000"/>
          <w:sz w:val="32"/>
          <w:szCs w:val="32"/>
          <w:lang w:val="en-US" w:eastAsia="zh-CN"/>
        </w:rPr>
        <w:t>201</w:t>
      </w:r>
      <w:r>
        <w:rPr>
          <w:rStyle w:val="17"/>
          <w:rFonts w:hint="default" w:ascii="Times New Roman" w:hAnsi="Times New Roman" w:eastAsia="仿宋" w:cs="Times New Roman"/>
          <w:b w:val="0"/>
          <w:bCs w:val="0"/>
          <w:color w:val="000000"/>
          <w:sz w:val="32"/>
          <w:szCs w:val="32"/>
        </w:rPr>
        <w:t>）</w:t>
      </w:r>
      <w:r>
        <w:rPr>
          <w:rStyle w:val="17"/>
          <w:rFonts w:hint="default" w:ascii="Times New Roman" w:hAnsi="Times New Roman" w:eastAsia="仿宋" w:cs="Times New Roman"/>
          <w:b w:val="0"/>
          <w:bCs w:val="0"/>
          <w:color w:val="000000"/>
          <w:sz w:val="32"/>
          <w:szCs w:val="32"/>
          <w:lang w:val="en-US" w:eastAsia="zh-CN"/>
        </w:rPr>
        <w:t>人大事务</w:t>
      </w:r>
      <w:r>
        <w:rPr>
          <w:rStyle w:val="17"/>
          <w:rFonts w:hint="default" w:ascii="Times New Roman" w:hAnsi="Times New Roman" w:eastAsia="仿宋" w:cs="Times New Roman"/>
          <w:b w:val="0"/>
          <w:bCs w:val="0"/>
          <w:color w:val="000000"/>
          <w:sz w:val="32"/>
          <w:szCs w:val="32"/>
        </w:rPr>
        <w:t>（</w:t>
      </w:r>
      <w:r>
        <w:rPr>
          <w:rStyle w:val="17"/>
          <w:rFonts w:hint="default" w:ascii="Times New Roman" w:hAnsi="Times New Roman" w:eastAsia="仿宋" w:cs="Times New Roman"/>
          <w:b w:val="0"/>
          <w:bCs w:val="0"/>
          <w:color w:val="000000"/>
          <w:sz w:val="32"/>
          <w:szCs w:val="32"/>
          <w:lang w:val="en-US" w:eastAsia="zh-CN"/>
        </w:rPr>
        <w:t>01</w:t>
      </w:r>
      <w:r>
        <w:rPr>
          <w:rStyle w:val="17"/>
          <w:rFonts w:hint="default" w:ascii="Times New Roman" w:hAnsi="Times New Roman" w:eastAsia="仿宋" w:cs="Times New Roman"/>
          <w:b w:val="0"/>
          <w:bCs w:val="0"/>
          <w:color w:val="000000"/>
          <w:sz w:val="32"/>
          <w:szCs w:val="32"/>
        </w:rPr>
        <w:t>）</w:t>
      </w:r>
      <w:r>
        <w:rPr>
          <w:rStyle w:val="17"/>
          <w:rFonts w:hint="default" w:ascii="Times New Roman" w:hAnsi="Times New Roman" w:eastAsia="仿宋" w:cs="Times New Roman"/>
          <w:b w:val="0"/>
          <w:bCs w:val="0"/>
          <w:color w:val="000000"/>
          <w:sz w:val="32"/>
          <w:szCs w:val="32"/>
          <w:lang w:val="en-US" w:eastAsia="zh-CN"/>
        </w:rPr>
        <w:t>其他人大事务支出</w:t>
      </w:r>
      <w:r>
        <w:rPr>
          <w:rStyle w:val="17"/>
          <w:rFonts w:hint="default" w:ascii="Times New Roman" w:hAnsi="Times New Roman" w:eastAsia="仿宋" w:cs="Times New Roman"/>
          <w:b w:val="0"/>
          <w:bCs w:val="0"/>
          <w:color w:val="000000"/>
          <w:sz w:val="32"/>
          <w:szCs w:val="32"/>
        </w:rPr>
        <w:t>（</w:t>
      </w:r>
      <w:r>
        <w:rPr>
          <w:rStyle w:val="17"/>
          <w:rFonts w:hint="default" w:ascii="Times New Roman" w:hAnsi="Times New Roman" w:eastAsia="仿宋" w:cs="Times New Roman"/>
          <w:b w:val="0"/>
          <w:bCs w:val="0"/>
          <w:color w:val="000000"/>
          <w:sz w:val="32"/>
          <w:szCs w:val="32"/>
          <w:lang w:val="en-US" w:eastAsia="zh-CN"/>
        </w:rPr>
        <w:t>99</w:t>
      </w:r>
      <w:r>
        <w:rPr>
          <w:rStyle w:val="17"/>
          <w:rFonts w:hint="default" w:ascii="Times New Roman" w:hAnsi="Times New Roman" w:eastAsia="仿宋" w:cs="Times New Roman"/>
          <w:b w:val="0"/>
          <w:bCs w:val="0"/>
          <w:color w:val="000000"/>
          <w:sz w:val="32"/>
          <w:szCs w:val="32"/>
        </w:rPr>
        <w:t>）: 支出决算为</w:t>
      </w:r>
      <w:r>
        <w:rPr>
          <w:rStyle w:val="17"/>
          <w:rFonts w:hint="eastAsia" w:ascii="Times New Roman" w:hAnsi="Times New Roman" w:eastAsia="仿宋" w:cs="Times New Roman"/>
          <w:b w:val="0"/>
          <w:bCs w:val="0"/>
          <w:color w:val="000000"/>
          <w:sz w:val="32"/>
          <w:szCs w:val="32"/>
          <w:lang w:val="en-US" w:eastAsia="zh-CN"/>
        </w:rPr>
        <w:t>20.42</w:t>
      </w:r>
      <w:r>
        <w:rPr>
          <w:rStyle w:val="17"/>
          <w:rFonts w:hint="default" w:ascii="Times New Roman" w:hAnsi="Times New Roman" w:eastAsia="仿宋" w:cs="Times New Roman"/>
          <w:b w:val="0"/>
          <w:bCs w:val="0"/>
          <w:color w:val="000000"/>
          <w:sz w:val="32"/>
          <w:szCs w:val="32"/>
        </w:rPr>
        <w:t>万元，</w:t>
      </w:r>
      <w:r>
        <w:rPr>
          <w:rStyle w:val="17"/>
          <w:rFonts w:hint="default" w:ascii="Times New Roman" w:hAnsi="Times New Roman" w:eastAsia="仿宋" w:cs="Times New Roman"/>
          <w:b w:val="0"/>
          <w:bCs w:val="0"/>
          <w:color w:val="auto"/>
          <w:sz w:val="32"/>
          <w:szCs w:val="32"/>
          <w:highlight w:val="none"/>
        </w:rPr>
        <w:t>完成预算</w:t>
      </w:r>
      <w:r>
        <w:rPr>
          <w:rStyle w:val="17"/>
          <w:rFonts w:hint="default" w:ascii="Times New Roman" w:hAnsi="Times New Roman" w:eastAsia="仿宋" w:cs="Times New Roman"/>
          <w:b w:val="0"/>
          <w:bCs w:val="0"/>
          <w:color w:val="auto"/>
          <w:sz w:val="32"/>
          <w:szCs w:val="32"/>
          <w:highlight w:val="none"/>
          <w:lang w:val="en-US" w:eastAsia="zh-CN"/>
        </w:rPr>
        <w:t>100</w:t>
      </w:r>
      <w:r>
        <w:rPr>
          <w:rStyle w:val="17"/>
          <w:rFonts w:hint="default" w:ascii="Times New Roman" w:hAnsi="Times New Roman" w:eastAsia="仿宋" w:cs="Times New Roman"/>
          <w:b w:val="0"/>
          <w:bCs w:val="0"/>
          <w:color w:val="auto"/>
          <w:sz w:val="32"/>
          <w:szCs w:val="32"/>
          <w:highlight w:val="none"/>
        </w:rPr>
        <w:t>%。</w:t>
      </w:r>
    </w:p>
    <w:p w14:paraId="44AD00B1">
      <w:pPr>
        <w:pStyle w:val="1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Style w:val="17"/>
          <w:rFonts w:hint="default" w:ascii="Times New Roman" w:hAnsi="Times New Roman" w:eastAsia="仿宋" w:cs="Times New Roman"/>
          <w:b w:val="0"/>
          <w:bCs w:val="0"/>
          <w:color w:val="auto"/>
          <w:sz w:val="32"/>
          <w:szCs w:val="32"/>
          <w:highlight w:val="none"/>
        </w:rPr>
      </w:pPr>
      <w:r>
        <w:rPr>
          <w:rStyle w:val="17"/>
          <w:rFonts w:hint="default" w:ascii="Times New Roman" w:hAnsi="Times New Roman" w:eastAsia="仿宋" w:cs="Times New Roman"/>
          <w:b w:val="0"/>
          <w:bCs w:val="0"/>
          <w:color w:val="000000"/>
          <w:sz w:val="32"/>
          <w:szCs w:val="32"/>
          <w:lang w:val="en-US" w:eastAsia="zh-CN"/>
        </w:rPr>
        <w:t>8.</w:t>
      </w:r>
      <w:r>
        <w:rPr>
          <w:rStyle w:val="17"/>
          <w:rFonts w:hint="default" w:ascii="Times New Roman" w:hAnsi="Times New Roman" w:eastAsia="仿宋" w:cs="Times New Roman"/>
          <w:b w:val="0"/>
          <w:bCs w:val="0"/>
          <w:color w:val="000000"/>
          <w:sz w:val="32"/>
          <w:szCs w:val="32"/>
        </w:rPr>
        <w:t>教育支出（</w:t>
      </w:r>
      <w:r>
        <w:rPr>
          <w:rStyle w:val="17"/>
          <w:rFonts w:hint="default" w:ascii="Times New Roman" w:hAnsi="Times New Roman" w:eastAsia="仿宋" w:cs="Times New Roman"/>
          <w:b w:val="0"/>
          <w:bCs w:val="0"/>
          <w:color w:val="000000"/>
          <w:sz w:val="32"/>
          <w:szCs w:val="32"/>
          <w:lang w:val="en-US" w:eastAsia="zh-CN"/>
        </w:rPr>
        <w:t>205</w:t>
      </w:r>
      <w:r>
        <w:rPr>
          <w:rStyle w:val="17"/>
          <w:rFonts w:hint="default" w:ascii="Times New Roman" w:hAnsi="Times New Roman" w:eastAsia="仿宋" w:cs="Times New Roman"/>
          <w:b w:val="0"/>
          <w:bCs w:val="0"/>
          <w:color w:val="000000"/>
          <w:sz w:val="32"/>
          <w:szCs w:val="32"/>
        </w:rPr>
        <w:t>）</w:t>
      </w:r>
      <w:r>
        <w:rPr>
          <w:rStyle w:val="17"/>
          <w:rFonts w:hint="default" w:ascii="Times New Roman" w:hAnsi="Times New Roman" w:eastAsia="仿宋" w:cs="Times New Roman"/>
          <w:b w:val="0"/>
          <w:bCs w:val="0"/>
          <w:color w:val="000000"/>
          <w:sz w:val="32"/>
          <w:szCs w:val="32"/>
          <w:lang w:val="en-US" w:eastAsia="zh-CN"/>
        </w:rPr>
        <w:t>其他教育支出</w:t>
      </w:r>
      <w:r>
        <w:rPr>
          <w:rStyle w:val="17"/>
          <w:rFonts w:hint="default" w:ascii="Times New Roman" w:hAnsi="Times New Roman" w:eastAsia="仿宋" w:cs="Times New Roman"/>
          <w:b w:val="0"/>
          <w:bCs w:val="0"/>
          <w:color w:val="000000"/>
          <w:sz w:val="32"/>
          <w:szCs w:val="32"/>
        </w:rPr>
        <w:t>（</w:t>
      </w:r>
      <w:r>
        <w:rPr>
          <w:rStyle w:val="17"/>
          <w:rFonts w:hint="default" w:ascii="Times New Roman" w:hAnsi="Times New Roman" w:eastAsia="仿宋" w:cs="Times New Roman"/>
          <w:b w:val="0"/>
          <w:bCs w:val="0"/>
          <w:color w:val="000000"/>
          <w:sz w:val="32"/>
          <w:szCs w:val="32"/>
          <w:lang w:val="en-US" w:eastAsia="zh-CN"/>
        </w:rPr>
        <w:t>99</w:t>
      </w:r>
      <w:r>
        <w:rPr>
          <w:rStyle w:val="17"/>
          <w:rFonts w:hint="default" w:ascii="Times New Roman" w:hAnsi="Times New Roman" w:eastAsia="仿宋" w:cs="Times New Roman"/>
          <w:b w:val="0"/>
          <w:bCs w:val="0"/>
          <w:color w:val="000000"/>
          <w:sz w:val="32"/>
          <w:szCs w:val="32"/>
        </w:rPr>
        <w:t>）</w:t>
      </w:r>
      <w:r>
        <w:rPr>
          <w:rStyle w:val="17"/>
          <w:rFonts w:hint="default" w:ascii="Times New Roman" w:hAnsi="Times New Roman" w:eastAsia="仿宋" w:cs="Times New Roman"/>
          <w:b w:val="0"/>
          <w:bCs w:val="0"/>
          <w:color w:val="000000"/>
          <w:sz w:val="32"/>
          <w:szCs w:val="32"/>
          <w:lang w:val="en-US" w:eastAsia="zh-CN"/>
        </w:rPr>
        <w:t>其他教育支出</w:t>
      </w:r>
      <w:r>
        <w:rPr>
          <w:rStyle w:val="17"/>
          <w:rFonts w:hint="default" w:ascii="Times New Roman" w:hAnsi="Times New Roman" w:eastAsia="仿宋" w:cs="Times New Roman"/>
          <w:b w:val="0"/>
          <w:bCs w:val="0"/>
          <w:color w:val="000000"/>
          <w:sz w:val="32"/>
          <w:szCs w:val="32"/>
        </w:rPr>
        <w:t>（</w:t>
      </w:r>
      <w:r>
        <w:rPr>
          <w:rStyle w:val="17"/>
          <w:rFonts w:hint="default" w:ascii="Times New Roman" w:hAnsi="Times New Roman" w:eastAsia="仿宋" w:cs="Times New Roman"/>
          <w:b w:val="0"/>
          <w:bCs w:val="0"/>
          <w:color w:val="000000"/>
          <w:sz w:val="32"/>
          <w:szCs w:val="32"/>
          <w:lang w:val="en-US" w:eastAsia="zh-CN"/>
        </w:rPr>
        <w:t>99</w:t>
      </w:r>
      <w:r>
        <w:rPr>
          <w:rStyle w:val="17"/>
          <w:rFonts w:hint="default" w:ascii="Times New Roman" w:hAnsi="Times New Roman" w:eastAsia="仿宋" w:cs="Times New Roman"/>
          <w:b w:val="0"/>
          <w:bCs w:val="0"/>
          <w:color w:val="000000"/>
          <w:sz w:val="32"/>
          <w:szCs w:val="32"/>
        </w:rPr>
        <w:t>）: 支出决算为</w:t>
      </w:r>
      <w:r>
        <w:rPr>
          <w:rStyle w:val="17"/>
          <w:rFonts w:hint="eastAsia" w:ascii="Times New Roman" w:hAnsi="Times New Roman" w:eastAsia="仿宋" w:cs="Times New Roman"/>
          <w:b w:val="0"/>
          <w:bCs w:val="0"/>
          <w:color w:val="000000"/>
          <w:sz w:val="32"/>
          <w:szCs w:val="32"/>
          <w:lang w:val="en-US" w:eastAsia="zh-CN"/>
        </w:rPr>
        <w:t>1.78</w:t>
      </w:r>
      <w:r>
        <w:rPr>
          <w:rStyle w:val="17"/>
          <w:rFonts w:hint="default" w:ascii="Times New Roman" w:hAnsi="Times New Roman" w:eastAsia="仿宋" w:cs="Times New Roman"/>
          <w:b w:val="0"/>
          <w:bCs w:val="0"/>
          <w:color w:val="000000"/>
          <w:sz w:val="32"/>
          <w:szCs w:val="32"/>
        </w:rPr>
        <w:t>万元，</w:t>
      </w:r>
      <w:r>
        <w:rPr>
          <w:rStyle w:val="17"/>
          <w:rFonts w:hint="default" w:ascii="Times New Roman" w:hAnsi="Times New Roman" w:eastAsia="仿宋" w:cs="Times New Roman"/>
          <w:b w:val="0"/>
          <w:bCs w:val="0"/>
          <w:color w:val="auto"/>
          <w:sz w:val="32"/>
          <w:szCs w:val="32"/>
          <w:highlight w:val="none"/>
        </w:rPr>
        <w:t>完成预算</w:t>
      </w:r>
      <w:r>
        <w:rPr>
          <w:rStyle w:val="17"/>
          <w:rFonts w:hint="default" w:ascii="Times New Roman" w:hAnsi="Times New Roman" w:eastAsia="仿宋" w:cs="Times New Roman"/>
          <w:b w:val="0"/>
          <w:bCs w:val="0"/>
          <w:color w:val="auto"/>
          <w:sz w:val="32"/>
          <w:szCs w:val="32"/>
          <w:highlight w:val="none"/>
          <w:lang w:val="en-US" w:eastAsia="zh-CN"/>
        </w:rPr>
        <w:t>100</w:t>
      </w:r>
      <w:r>
        <w:rPr>
          <w:rStyle w:val="17"/>
          <w:rFonts w:hint="default" w:ascii="Times New Roman" w:hAnsi="Times New Roman" w:eastAsia="仿宋" w:cs="Times New Roman"/>
          <w:b w:val="0"/>
          <w:bCs w:val="0"/>
          <w:color w:val="auto"/>
          <w:sz w:val="32"/>
          <w:szCs w:val="32"/>
          <w:highlight w:val="none"/>
        </w:rPr>
        <w:t>%。</w:t>
      </w:r>
    </w:p>
    <w:p w14:paraId="78F24015">
      <w:pPr>
        <w:ind w:firstLine="640" w:firstLineChars="200"/>
        <w:rPr>
          <w:rStyle w:val="17"/>
          <w:rFonts w:hint="default" w:ascii="Times New Roman" w:hAnsi="Times New Roman" w:eastAsia="仿宋" w:cs="Times New Roman"/>
          <w:b w:val="0"/>
          <w:bCs w:val="0"/>
          <w:color w:val="auto"/>
          <w:sz w:val="32"/>
          <w:szCs w:val="32"/>
          <w:highlight w:val="none"/>
          <w:lang w:val="en-US" w:eastAsia="zh-CN"/>
        </w:rPr>
      </w:pPr>
      <w:r>
        <w:rPr>
          <w:rStyle w:val="17"/>
          <w:rFonts w:hint="default" w:ascii="Times New Roman" w:hAnsi="Times New Roman" w:eastAsia="仿宋" w:cs="Times New Roman"/>
          <w:b w:val="0"/>
          <w:bCs w:val="0"/>
          <w:color w:val="auto"/>
          <w:sz w:val="32"/>
          <w:szCs w:val="32"/>
          <w:highlight w:val="none"/>
          <w:lang w:val="en-US" w:eastAsia="zh-CN"/>
        </w:rPr>
        <w:t>9.</w:t>
      </w:r>
      <w:r>
        <w:rPr>
          <w:rStyle w:val="17"/>
          <w:rFonts w:hint="default" w:ascii="Times New Roman" w:hAnsi="Times New Roman" w:eastAsia="仿宋" w:cs="Times New Roman"/>
          <w:b w:val="0"/>
          <w:bCs w:val="0"/>
          <w:color w:val="auto"/>
          <w:sz w:val="32"/>
          <w:szCs w:val="32"/>
          <w:highlight w:val="none"/>
        </w:rPr>
        <w:t>社会保障和就业（</w:t>
      </w:r>
      <w:r>
        <w:rPr>
          <w:rStyle w:val="17"/>
          <w:rFonts w:hint="default" w:ascii="Times New Roman" w:hAnsi="Times New Roman" w:eastAsia="仿宋" w:cs="Times New Roman"/>
          <w:b w:val="0"/>
          <w:bCs w:val="0"/>
          <w:color w:val="auto"/>
          <w:sz w:val="32"/>
          <w:szCs w:val="32"/>
          <w:highlight w:val="none"/>
          <w:lang w:val="en-US" w:eastAsia="zh-CN"/>
        </w:rPr>
        <w:t>208</w:t>
      </w:r>
      <w:r>
        <w:rPr>
          <w:rStyle w:val="17"/>
          <w:rFonts w:hint="default" w:ascii="Times New Roman" w:hAnsi="Times New Roman" w:eastAsia="仿宋" w:cs="Times New Roman"/>
          <w:b w:val="0"/>
          <w:bCs w:val="0"/>
          <w:color w:val="auto"/>
          <w:sz w:val="32"/>
          <w:szCs w:val="32"/>
          <w:highlight w:val="none"/>
        </w:rPr>
        <w:t>）行政事业单位养老（</w:t>
      </w:r>
      <w:r>
        <w:rPr>
          <w:rStyle w:val="17"/>
          <w:rFonts w:hint="default" w:ascii="Times New Roman" w:hAnsi="Times New Roman" w:eastAsia="仿宋" w:cs="Times New Roman"/>
          <w:b w:val="0"/>
          <w:bCs w:val="0"/>
          <w:color w:val="auto"/>
          <w:sz w:val="32"/>
          <w:szCs w:val="32"/>
          <w:highlight w:val="none"/>
          <w:lang w:val="en-US" w:eastAsia="zh-CN"/>
        </w:rPr>
        <w:t>05</w:t>
      </w:r>
      <w:r>
        <w:rPr>
          <w:rStyle w:val="17"/>
          <w:rFonts w:hint="default" w:ascii="Times New Roman" w:hAnsi="Times New Roman" w:eastAsia="仿宋" w:cs="Times New Roman"/>
          <w:b w:val="0"/>
          <w:bCs w:val="0"/>
          <w:color w:val="auto"/>
          <w:sz w:val="32"/>
          <w:szCs w:val="32"/>
          <w:highlight w:val="none"/>
        </w:rPr>
        <w:t>）</w:t>
      </w:r>
      <w:r>
        <w:rPr>
          <w:rStyle w:val="17"/>
          <w:rFonts w:hint="eastAsia" w:ascii="Times New Roman" w:hAnsi="Times New Roman" w:eastAsia="仿宋" w:cs="Times New Roman"/>
          <w:b w:val="0"/>
          <w:bCs w:val="0"/>
          <w:color w:val="auto"/>
          <w:sz w:val="32"/>
          <w:szCs w:val="32"/>
          <w:highlight w:val="none"/>
          <w:lang w:val="en-US" w:eastAsia="zh-CN"/>
        </w:rPr>
        <w:t>行政单位离退休</w:t>
      </w:r>
      <w:r>
        <w:rPr>
          <w:rStyle w:val="17"/>
          <w:rFonts w:hint="default" w:ascii="Times New Roman" w:hAnsi="Times New Roman" w:eastAsia="仿宋" w:cs="Times New Roman"/>
          <w:b w:val="0"/>
          <w:bCs w:val="0"/>
          <w:color w:val="auto"/>
          <w:sz w:val="32"/>
          <w:szCs w:val="32"/>
          <w:highlight w:val="none"/>
        </w:rPr>
        <w:t>（</w:t>
      </w:r>
      <w:r>
        <w:rPr>
          <w:rStyle w:val="17"/>
          <w:rFonts w:hint="default" w:ascii="Times New Roman" w:hAnsi="Times New Roman" w:eastAsia="仿宋" w:cs="Times New Roman"/>
          <w:b w:val="0"/>
          <w:bCs w:val="0"/>
          <w:color w:val="auto"/>
          <w:sz w:val="32"/>
          <w:szCs w:val="32"/>
          <w:highlight w:val="none"/>
          <w:lang w:val="en-US" w:eastAsia="zh-CN"/>
        </w:rPr>
        <w:t>0</w:t>
      </w:r>
      <w:r>
        <w:rPr>
          <w:rStyle w:val="17"/>
          <w:rFonts w:hint="eastAsia" w:ascii="Times New Roman" w:hAnsi="Times New Roman" w:eastAsia="仿宋" w:cs="Times New Roman"/>
          <w:b w:val="0"/>
          <w:bCs w:val="0"/>
          <w:color w:val="auto"/>
          <w:sz w:val="32"/>
          <w:szCs w:val="32"/>
          <w:highlight w:val="none"/>
          <w:lang w:val="en-US" w:eastAsia="zh-CN"/>
        </w:rPr>
        <w:t>1</w:t>
      </w:r>
      <w:r>
        <w:rPr>
          <w:rStyle w:val="17"/>
          <w:rFonts w:hint="default" w:ascii="Times New Roman" w:hAnsi="Times New Roman" w:eastAsia="仿宋" w:cs="Times New Roman"/>
          <w:b w:val="0"/>
          <w:bCs w:val="0"/>
          <w:color w:val="auto"/>
          <w:sz w:val="32"/>
          <w:szCs w:val="32"/>
          <w:highlight w:val="none"/>
        </w:rPr>
        <w:t>）: 支出决算为</w:t>
      </w:r>
      <w:r>
        <w:rPr>
          <w:rStyle w:val="17"/>
          <w:rFonts w:hint="eastAsia" w:ascii="Times New Roman" w:hAnsi="Times New Roman" w:eastAsia="仿宋" w:cs="Times New Roman"/>
          <w:b w:val="0"/>
          <w:bCs w:val="0"/>
          <w:color w:val="auto"/>
          <w:sz w:val="32"/>
          <w:szCs w:val="32"/>
          <w:highlight w:val="none"/>
          <w:lang w:val="en-US" w:eastAsia="zh-CN"/>
        </w:rPr>
        <w:t>60.18</w:t>
      </w:r>
      <w:r>
        <w:rPr>
          <w:rStyle w:val="17"/>
          <w:rFonts w:hint="default" w:ascii="Times New Roman" w:hAnsi="Times New Roman" w:eastAsia="仿宋" w:cs="Times New Roman"/>
          <w:b w:val="0"/>
          <w:bCs w:val="0"/>
          <w:color w:val="auto"/>
          <w:sz w:val="32"/>
          <w:szCs w:val="32"/>
          <w:highlight w:val="none"/>
        </w:rPr>
        <w:t>万元，完成预算</w:t>
      </w:r>
      <w:r>
        <w:rPr>
          <w:rStyle w:val="17"/>
          <w:rFonts w:hint="default" w:ascii="Times New Roman" w:hAnsi="Times New Roman" w:eastAsia="仿宋" w:cs="Times New Roman"/>
          <w:b w:val="0"/>
          <w:bCs w:val="0"/>
          <w:color w:val="auto"/>
          <w:sz w:val="32"/>
          <w:szCs w:val="32"/>
          <w:highlight w:val="none"/>
          <w:lang w:val="en-US" w:eastAsia="zh-CN"/>
        </w:rPr>
        <w:t>100%。</w:t>
      </w:r>
    </w:p>
    <w:p w14:paraId="3E55D659">
      <w:pPr>
        <w:ind w:firstLine="640" w:firstLineChars="200"/>
        <w:rPr>
          <w:rFonts w:hint="default" w:ascii="Times New Roman" w:hAnsi="Times New Roman" w:eastAsia="仿宋" w:cs="Times New Roman"/>
          <w:b w:val="0"/>
          <w:bCs w:val="0"/>
          <w:color w:val="auto"/>
          <w:sz w:val="32"/>
          <w:szCs w:val="32"/>
          <w:highlight w:val="none"/>
        </w:rPr>
      </w:pPr>
      <w:r>
        <w:rPr>
          <w:rStyle w:val="17"/>
          <w:rFonts w:hint="eastAsia" w:ascii="Times New Roman" w:hAnsi="Times New Roman" w:eastAsia="仿宋" w:cs="Times New Roman"/>
          <w:b w:val="0"/>
          <w:bCs w:val="0"/>
          <w:color w:val="auto"/>
          <w:sz w:val="32"/>
          <w:szCs w:val="32"/>
          <w:highlight w:val="none"/>
          <w:lang w:val="en-US" w:eastAsia="zh-CN"/>
        </w:rPr>
        <w:t>10.</w:t>
      </w:r>
      <w:r>
        <w:rPr>
          <w:rStyle w:val="17"/>
          <w:rFonts w:hint="default" w:ascii="Times New Roman" w:hAnsi="Times New Roman" w:eastAsia="仿宋" w:cs="Times New Roman"/>
          <w:b w:val="0"/>
          <w:bCs w:val="0"/>
          <w:color w:val="auto"/>
          <w:sz w:val="32"/>
          <w:szCs w:val="32"/>
          <w:highlight w:val="none"/>
        </w:rPr>
        <w:t>社会保障和就业（</w:t>
      </w:r>
      <w:r>
        <w:rPr>
          <w:rStyle w:val="17"/>
          <w:rFonts w:hint="default" w:ascii="Times New Roman" w:hAnsi="Times New Roman" w:eastAsia="仿宋" w:cs="Times New Roman"/>
          <w:b w:val="0"/>
          <w:bCs w:val="0"/>
          <w:color w:val="auto"/>
          <w:sz w:val="32"/>
          <w:szCs w:val="32"/>
          <w:highlight w:val="none"/>
          <w:lang w:val="en-US" w:eastAsia="zh-CN"/>
        </w:rPr>
        <w:t>208</w:t>
      </w:r>
      <w:r>
        <w:rPr>
          <w:rStyle w:val="17"/>
          <w:rFonts w:hint="default" w:ascii="Times New Roman" w:hAnsi="Times New Roman" w:eastAsia="仿宋" w:cs="Times New Roman"/>
          <w:b w:val="0"/>
          <w:bCs w:val="0"/>
          <w:color w:val="auto"/>
          <w:sz w:val="32"/>
          <w:szCs w:val="32"/>
          <w:highlight w:val="none"/>
        </w:rPr>
        <w:t>）行政事业单位养老（</w:t>
      </w:r>
      <w:r>
        <w:rPr>
          <w:rStyle w:val="17"/>
          <w:rFonts w:hint="default" w:ascii="Times New Roman" w:hAnsi="Times New Roman" w:eastAsia="仿宋" w:cs="Times New Roman"/>
          <w:b w:val="0"/>
          <w:bCs w:val="0"/>
          <w:color w:val="auto"/>
          <w:sz w:val="32"/>
          <w:szCs w:val="32"/>
          <w:highlight w:val="none"/>
          <w:lang w:val="en-US" w:eastAsia="zh-CN"/>
        </w:rPr>
        <w:t>05</w:t>
      </w:r>
      <w:r>
        <w:rPr>
          <w:rStyle w:val="17"/>
          <w:rFonts w:hint="default" w:ascii="Times New Roman" w:hAnsi="Times New Roman" w:eastAsia="仿宋" w:cs="Times New Roman"/>
          <w:b w:val="0"/>
          <w:bCs w:val="0"/>
          <w:color w:val="auto"/>
          <w:sz w:val="32"/>
          <w:szCs w:val="32"/>
          <w:highlight w:val="none"/>
        </w:rPr>
        <w:t>）机关事业单位基本养老保险缴费（</w:t>
      </w:r>
      <w:r>
        <w:rPr>
          <w:rStyle w:val="17"/>
          <w:rFonts w:hint="default" w:ascii="Times New Roman" w:hAnsi="Times New Roman" w:eastAsia="仿宋" w:cs="Times New Roman"/>
          <w:b w:val="0"/>
          <w:bCs w:val="0"/>
          <w:color w:val="auto"/>
          <w:sz w:val="32"/>
          <w:szCs w:val="32"/>
          <w:highlight w:val="none"/>
          <w:lang w:val="en-US" w:eastAsia="zh-CN"/>
        </w:rPr>
        <w:t>05</w:t>
      </w:r>
      <w:r>
        <w:rPr>
          <w:rStyle w:val="17"/>
          <w:rFonts w:hint="default" w:ascii="Times New Roman" w:hAnsi="Times New Roman" w:eastAsia="仿宋" w:cs="Times New Roman"/>
          <w:b w:val="0"/>
          <w:bCs w:val="0"/>
          <w:color w:val="auto"/>
          <w:sz w:val="32"/>
          <w:szCs w:val="32"/>
          <w:highlight w:val="none"/>
        </w:rPr>
        <w:t>）: 支出决算为</w:t>
      </w:r>
      <w:r>
        <w:rPr>
          <w:rStyle w:val="17"/>
          <w:rFonts w:hint="eastAsia" w:ascii="Times New Roman" w:hAnsi="Times New Roman" w:eastAsia="仿宋" w:cs="Times New Roman"/>
          <w:b w:val="0"/>
          <w:bCs w:val="0"/>
          <w:color w:val="auto"/>
          <w:sz w:val="32"/>
          <w:szCs w:val="32"/>
          <w:highlight w:val="none"/>
          <w:lang w:val="en-US" w:eastAsia="zh-CN"/>
        </w:rPr>
        <w:t>192.80</w:t>
      </w:r>
      <w:r>
        <w:rPr>
          <w:rStyle w:val="17"/>
          <w:rFonts w:hint="default" w:ascii="Times New Roman" w:hAnsi="Times New Roman" w:eastAsia="仿宋" w:cs="Times New Roman"/>
          <w:b w:val="0"/>
          <w:bCs w:val="0"/>
          <w:color w:val="auto"/>
          <w:sz w:val="32"/>
          <w:szCs w:val="32"/>
          <w:highlight w:val="none"/>
        </w:rPr>
        <w:t>万元，完成预算</w:t>
      </w:r>
      <w:r>
        <w:rPr>
          <w:rStyle w:val="17"/>
          <w:rFonts w:hint="default" w:ascii="Times New Roman" w:hAnsi="Times New Roman" w:eastAsia="仿宋" w:cs="Times New Roman"/>
          <w:b w:val="0"/>
          <w:bCs w:val="0"/>
          <w:color w:val="auto"/>
          <w:sz w:val="32"/>
          <w:szCs w:val="32"/>
          <w:highlight w:val="none"/>
          <w:lang w:val="en-US" w:eastAsia="zh-CN"/>
        </w:rPr>
        <w:t>100%。</w:t>
      </w:r>
    </w:p>
    <w:p w14:paraId="6B156EF8">
      <w:pPr>
        <w:spacing w:line="600" w:lineRule="exact"/>
        <w:ind w:firstLine="640" w:firstLineChars="200"/>
        <w:rPr>
          <w:rFonts w:hint="default" w:ascii="Times New Roman" w:hAnsi="Times New Roman" w:eastAsia="仿宋" w:cs="Times New Roman"/>
          <w:b w:val="0"/>
          <w:bCs w:val="0"/>
          <w:color w:val="auto"/>
          <w:sz w:val="32"/>
          <w:szCs w:val="32"/>
          <w:highlight w:val="none"/>
        </w:rPr>
      </w:pPr>
      <w:r>
        <w:rPr>
          <w:rStyle w:val="17"/>
          <w:rFonts w:hint="default" w:ascii="Times New Roman" w:hAnsi="Times New Roman" w:eastAsia="仿宋" w:cs="Times New Roman"/>
          <w:b w:val="0"/>
          <w:bCs w:val="0"/>
          <w:color w:val="auto"/>
          <w:sz w:val="32"/>
          <w:szCs w:val="32"/>
          <w:highlight w:val="none"/>
          <w:lang w:val="en-US" w:eastAsia="zh-CN"/>
        </w:rPr>
        <w:t>1</w:t>
      </w:r>
      <w:r>
        <w:rPr>
          <w:rStyle w:val="17"/>
          <w:rFonts w:hint="eastAsia" w:ascii="Times New Roman" w:hAnsi="Times New Roman" w:eastAsia="仿宋" w:cs="Times New Roman"/>
          <w:b w:val="0"/>
          <w:bCs w:val="0"/>
          <w:color w:val="auto"/>
          <w:sz w:val="32"/>
          <w:szCs w:val="32"/>
          <w:highlight w:val="none"/>
          <w:lang w:val="en-US" w:eastAsia="zh-CN"/>
        </w:rPr>
        <w:t>1</w:t>
      </w:r>
      <w:r>
        <w:rPr>
          <w:rStyle w:val="17"/>
          <w:rFonts w:hint="default" w:ascii="Times New Roman" w:hAnsi="Times New Roman" w:eastAsia="仿宋" w:cs="Times New Roman"/>
          <w:b w:val="0"/>
          <w:bCs w:val="0"/>
          <w:color w:val="auto"/>
          <w:sz w:val="32"/>
          <w:szCs w:val="32"/>
          <w:highlight w:val="none"/>
        </w:rPr>
        <w:t>.社会保障和就业（</w:t>
      </w:r>
      <w:r>
        <w:rPr>
          <w:rStyle w:val="17"/>
          <w:rFonts w:hint="default" w:ascii="Times New Roman" w:hAnsi="Times New Roman" w:eastAsia="仿宋" w:cs="Times New Roman"/>
          <w:b w:val="0"/>
          <w:bCs w:val="0"/>
          <w:color w:val="auto"/>
          <w:sz w:val="32"/>
          <w:szCs w:val="32"/>
          <w:highlight w:val="none"/>
          <w:lang w:val="en-US" w:eastAsia="zh-CN"/>
        </w:rPr>
        <w:t>208</w:t>
      </w:r>
      <w:r>
        <w:rPr>
          <w:rStyle w:val="17"/>
          <w:rFonts w:hint="default" w:ascii="Times New Roman" w:hAnsi="Times New Roman" w:eastAsia="仿宋" w:cs="Times New Roman"/>
          <w:b w:val="0"/>
          <w:bCs w:val="0"/>
          <w:color w:val="auto"/>
          <w:sz w:val="32"/>
          <w:szCs w:val="32"/>
          <w:highlight w:val="none"/>
        </w:rPr>
        <w:t>）行政事业单位养老（</w:t>
      </w:r>
      <w:r>
        <w:rPr>
          <w:rStyle w:val="17"/>
          <w:rFonts w:hint="default" w:ascii="Times New Roman" w:hAnsi="Times New Roman" w:eastAsia="仿宋" w:cs="Times New Roman"/>
          <w:b w:val="0"/>
          <w:bCs w:val="0"/>
          <w:color w:val="auto"/>
          <w:sz w:val="32"/>
          <w:szCs w:val="32"/>
          <w:highlight w:val="none"/>
          <w:lang w:val="en-US" w:eastAsia="zh-CN"/>
        </w:rPr>
        <w:t>05</w:t>
      </w:r>
      <w:r>
        <w:rPr>
          <w:rStyle w:val="17"/>
          <w:rFonts w:hint="default" w:ascii="Times New Roman" w:hAnsi="Times New Roman" w:eastAsia="仿宋" w:cs="Times New Roman"/>
          <w:b w:val="0"/>
          <w:bCs w:val="0"/>
          <w:color w:val="auto"/>
          <w:sz w:val="32"/>
          <w:szCs w:val="32"/>
          <w:highlight w:val="none"/>
        </w:rPr>
        <w:t>）机关事业单位职业年金缴费（</w:t>
      </w:r>
      <w:r>
        <w:rPr>
          <w:rStyle w:val="17"/>
          <w:rFonts w:hint="default" w:ascii="Times New Roman" w:hAnsi="Times New Roman" w:eastAsia="仿宋" w:cs="Times New Roman"/>
          <w:b w:val="0"/>
          <w:bCs w:val="0"/>
          <w:color w:val="auto"/>
          <w:sz w:val="32"/>
          <w:szCs w:val="32"/>
          <w:highlight w:val="none"/>
          <w:lang w:val="en-US" w:eastAsia="zh-CN"/>
        </w:rPr>
        <w:t>06</w:t>
      </w:r>
      <w:r>
        <w:rPr>
          <w:rStyle w:val="17"/>
          <w:rFonts w:hint="default" w:ascii="Times New Roman" w:hAnsi="Times New Roman" w:eastAsia="仿宋" w:cs="Times New Roman"/>
          <w:b w:val="0"/>
          <w:bCs w:val="0"/>
          <w:color w:val="auto"/>
          <w:sz w:val="32"/>
          <w:szCs w:val="32"/>
          <w:highlight w:val="none"/>
        </w:rPr>
        <w:t>）:支出决算为</w:t>
      </w:r>
      <w:r>
        <w:rPr>
          <w:rStyle w:val="17"/>
          <w:rFonts w:hint="eastAsia" w:ascii="Times New Roman" w:hAnsi="Times New Roman" w:eastAsia="仿宋" w:cs="Times New Roman"/>
          <w:b w:val="0"/>
          <w:bCs w:val="0"/>
          <w:color w:val="auto"/>
          <w:sz w:val="32"/>
          <w:szCs w:val="32"/>
          <w:highlight w:val="none"/>
          <w:lang w:val="en-US" w:eastAsia="zh-CN"/>
        </w:rPr>
        <w:t>95.84</w:t>
      </w:r>
      <w:r>
        <w:rPr>
          <w:rStyle w:val="17"/>
          <w:rFonts w:hint="default" w:ascii="Times New Roman" w:hAnsi="Times New Roman" w:eastAsia="仿宋" w:cs="Times New Roman"/>
          <w:b w:val="0"/>
          <w:bCs w:val="0"/>
          <w:color w:val="auto"/>
          <w:sz w:val="32"/>
          <w:szCs w:val="32"/>
          <w:highlight w:val="none"/>
        </w:rPr>
        <w:t>万元，完成预算</w:t>
      </w:r>
      <w:r>
        <w:rPr>
          <w:rStyle w:val="17"/>
          <w:rFonts w:hint="default" w:ascii="Times New Roman" w:hAnsi="Times New Roman" w:eastAsia="仿宋" w:cs="Times New Roman"/>
          <w:b w:val="0"/>
          <w:bCs w:val="0"/>
          <w:color w:val="auto"/>
          <w:sz w:val="32"/>
          <w:szCs w:val="32"/>
          <w:highlight w:val="none"/>
          <w:lang w:val="en-US" w:eastAsia="zh-CN"/>
        </w:rPr>
        <w:t>100</w:t>
      </w:r>
      <w:r>
        <w:rPr>
          <w:rStyle w:val="17"/>
          <w:rFonts w:hint="default" w:ascii="Times New Roman" w:hAnsi="Times New Roman" w:eastAsia="仿宋" w:cs="Times New Roman"/>
          <w:b w:val="0"/>
          <w:bCs w:val="0"/>
          <w:color w:val="auto"/>
          <w:sz w:val="32"/>
          <w:szCs w:val="32"/>
          <w:highlight w:val="none"/>
        </w:rPr>
        <w:t>%。</w:t>
      </w:r>
    </w:p>
    <w:p w14:paraId="5463E298">
      <w:pPr>
        <w:spacing w:line="600" w:lineRule="exact"/>
        <w:ind w:firstLine="640" w:firstLineChars="200"/>
        <w:rPr>
          <w:rStyle w:val="17"/>
          <w:rFonts w:hint="default" w:ascii="Times New Roman" w:hAnsi="Times New Roman" w:eastAsia="仿宋" w:cs="Times New Roman"/>
          <w:b w:val="0"/>
          <w:bCs w:val="0"/>
          <w:color w:val="auto"/>
          <w:sz w:val="32"/>
          <w:szCs w:val="32"/>
          <w:highlight w:val="none"/>
        </w:rPr>
      </w:pPr>
      <w:r>
        <w:rPr>
          <w:rStyle w:val="17"/>
          <w:rFonts w:hint="default" w:ascii="Times New Roman" w:hAnsi="Times New Roman" w:eastAsia="仿宋" w:cs="Times New Roman"/>
          <w:b w:val="0"/>
          <w:bCs w:val="0"/>
          <w:color w:val="auto"/>
          <w:sz w:val="32"/>
          <w:szCs w:val="32"/>
          <w:highlight w:val="none"/>
          <w:lang w:val="en-US" w:eastAsia="zh-CN"/>
        </w:rPr>
        <w:t>1</w:t>
      </w:r>
      <w:r>
        <w:rPr>
          <w:rStyle w:val="17"/>
          <w:rFonts w:hint="eastAsia" w:ascii="Times New Roman" w:hAnsi="Times New Roman" w:eastAsia="仿宋" w:cs="Times New Roman"/>
          <w:b w:val="0"/>
          <w:bCs w:val="0"/>
          <w:color w:val="auto"/>
          <w:sz w:val="32"/>
          <w:szCs w:val="32"/>
          <w:highlight w:val="none"/>
          <w:lang w:val="en-US" w:eastAsia="zh-CN"/>
        </w:rPr>
        <w:t>2</w:t>
      </w:r>
      <w:r>
        <w:rPr>
          <w:rStyle w:val="17"/>
          <w:rFonts w:hint="default" w:ascii="Times New Roman" w:hAnsi="Times New Roman" w:eastAsia="仿宋" w:cs="Times New Roman"/>
          <w:b w:val="0"/>
          <w:bCs w:val="0"/>
          <w:color w:val="auto"/>
          <w:sz w:val="32"/>
          <w:szCs w:val="32"/>
          <w:highlight w:val="none"/>
        </w:rPr>
        <w:t>.卫生健康（</w:t>
      </w:r>
      <w:r>
        <w:rPr>
          <w:rStyle w:val="17"/>
          <w:rFonts w:hint="default" w:ascii="Times New Roman" w:hAnsi="Times New Roman" w:eastAsia="仿宋" w:cs="Times New Roman"/>
          <w:b w:val="0"/>
          <w:bCs w:val="0"/>
          <w:color w:val="auto"/>
          <w:sz w:val="32"/>
          <w:szCs w:val="32"/>
          <w:highlight w:val="none"/>
          <w:lang w:val="en-US" w:eastAsia="zh-CN"/>
        </w:rPr>
        <w:t>210</w:t>
      </w:r>
      <w:r>
        <w:rPr>
          <w:rStyle w:val="17"/>
          <w:rFonts w:hint="default" w:ascii="Times New Roman" w:hAnsi="Times New Roman" w:eastAsia="仿宋" w:cs="Times New Roman"/>
          <w:b w:val="0"/>
          <w:bCs w:val="0"/>
          <w:color w:val="auto"/>
          <w:sz w:val="32"/>
          <w:szCs w:val="32"/>
          <w:highlight w:val="none"/>
        </w:rPr>
        <w:t>）行政事业单位医疗（</w:t>
      </w:r>
      <w:r>
        <w:rPr>
          <w:rStyle w:val="17"/>
          <w:rFonts w:hint="default" w:ascii="Times New Roman" w:hAnsi="Times New Roman" w:eastAsia="仿宋" w:cs="Times New Roman"/>
          <w:b w:val="0"/>
          <w:bCs w:val="0"/>
          <w:color w:val="auto"/>
          <w:sz w:val="32"/>
          <w:szCs w:val="32"/>
          <w:highlight w:val="none"/>
          <w:lang w:val="en-US" w:eastAsia="zh-CN"/>
        </w:rPr>
        <w:t>11</w:t>
      </w:r>
      <w:r>
        <w:rPr>
          <w:rStyle w:val="17"/>
          <w:rFonts w:hint="default" w:ascii="Times New Roman" w:hAnsi="Times New Roman" w:eastAsia="仿宋" w:cs="Times New Roman"/>
          <w:b w:val="0"/>
          <w:bCs w:val="0"/>
          <w:color w:val="auto"/>
          <w:sz w:val="32"/>
          <w:szCs w:val="32"/>
          <w:highlight w:val="none"/>
        </w:rPr>
        <w:t>）行政单位医疗（</w:t>
      </w:r>
      <w:r>
        <w:rPr>
          <w:rStyle w:val="17"/>
          <w:rFonts w:hint="default" w:ascii="Times New Roman" w:hAnsi="Times New Roman" w:eastAsia="仿宋" w:cs="Times New Roman"/>
          <w:b w:val="0"/>
          <w:bCs w:val="0"/>
          <w:color w:val="auto"/>
          <w:sz w:val="32"/>
          <w:szCs w:val="32"/>
          <w:highlight w:val="none"/>
          <w:lang w:val="en-US" w:eastAsia="zh-CN"/>
        </w:rPr>
        <w:t>01</w:t>
      </w:r>
      <w:r>
        <w:rPr>
          <w:rStyle w:val="17"/>
          <w:rFonts w:hint="default" w:ascii="Times New Roman" w:hAnsi="Times New Roman" w:eastAsia="仿宋" w:cs="Times New Roman"/>
          <w:b w:val="0"/>
          <w:bCs w:val="0"/>
          <w:color w:val="auto"/>
          <w:sz w:val="32"/>
          <w:szCs w:val="32"/>
          <w:highlight w:val="none"/>
        </w:rPr>
        <w:t>）:支出决算为</w:t>
      </w:r>
      <w:r>
        <w:rPr>
          <w:rStyle w:val="17"/>
          <w:rFonts w:hint="eastAsia" w:ascii="Times New Roman" w:hAnsi="Times New Roman" w:eastAsia="仿宋" w:cs="Times New Roman"/>
          <w:b w:val="0"/>
          <w:bCs w:val="0"/>
          <w:color w:val="auto"/>
          <w:sz w:val="32"/>
          <w:szCs w:val="32"/>
          <w:highlight w:val="none"/>
          <w:lang w:val="en-US" w:eastAsia="zh-CN"/>
        </w:rPr>
        <w:t>90.92</w:t>
      </w:r>
      <w:r>
        <w:rPr>
          <w:rStyle w:val="17"/>
          <w:rFonts w:hint="default" w:ascii="Times New Roman" w:hAnsi="Times New Roman" w:eastAsia="仿宋" w:cs="Times New Roman"/>
          <w:b w:val="0"/>
          <w:bCs w:val="0"/>
          <w:color w:val="auto"/>
          <w:sz w:val="32"/>
          <w:szCs w:val="32"/>
          <w:highlight w:val="none"/>
        </w:rPr>
        <w:t>元，完成预算</w:t>
      </w:r>
      <w:r>
        <w:rPr>
          <w:rStyle w:val="17"/>
          <w:rFonts w:hint="default" w:ascii="Times New Roman" w:hAnsi="Times New Roman" w:eastAsia="仿宋" w:cs="Times New Roman"/>
          <w:b w:val="0"/>
          <w:bCs w:val="0"/>
          <w:color w:val="auto"/>
          <w:sz w:val="32"/>
          <w:szCs w:val="32"/>
          <w:highlight w:val="none"/>
          <w:lang w:val="en-US" w:eastAsia="zh-CN"/>
        </w:rPr>
        <w:t>100</w:t>
      </w:r>
      <w:r>
        <w:rPr>
          <w:rStyle w:val="17"/>
          <w:rFonts w:hint="default" w:ascii="Times New Roman" w:hAnsi="Times New Roman" w:eastAsia="仿宋" w:cs="Times New Roman"/>
          <w:b w:val="0"/>
          <w:bCs w:val="0"/>
          <w:color w:val="auto"/>
          <w:sz w:val="32"/>
          <w:szCs w:val="32"/>
          <w:highlight w:val="none"/>
        </w:rPr>
        <w:t>%。</w:t>
      </w:r>
    </w:p>
    <w:p w14:paraId="05C28520">
      <w:pPr>
        <w:spacing w:line="600" w:lineRule="exact"/>
        <w:ind w:firstLine="640" w:firstLineChars="200"/>
        <w:rPr>
          <w:rStyle w:val="17"/>
          <w:rFonts w:hint="default" w:ascii="Times New Roman" w:hAnsi="Times New Roman" w:eastAsia="仿宋" w:cs="Times New Roman"/>
          <w:b w:val="0"/>
          <w:bCs w:val="0"/>
          <w:color w:val="auto"/>
          <w:sz w:val="32"/>
          <w:szCs w:val="32"/>
          <w:highlight w:val="none"/>
        </w:rPr>
      </w:pPr>
      <w:r>
        <w:rPr>
          <w:rStyle w:val="17"/>
          <w:rFonts w:hint="default" w:ascii="Times New Roman" w:hAnsi="Times New Roman" w:eastAsia="仿宋" w:cs="Times New Roman"/>
          <w:b w:val="0"/>
          <w:bCs w:val="0"/>
          <w:color w:val="auto"/>
          <w:sz w:val="32"/>
          <w:szCs w:val="32"/>
          <w:highlight w:val="none"/>
          <w:lang w:val="en-US" w:eastAsia="zh-CN"/>
        </w:rPr>
        <w:t>1</w:t>
      </w:r>
      <w:r>
        <w:rPr>
          <w:rStyle w:val="17"/>
          <w:rFonts w:hint="eastAsia" w:ascii="Times New Roman" w:hAnsi="Times New Roman" w:eastAsia="仿宋" w:cs="Times New Roman"/>
          <w:b w:val="0"/>
          <w:bCs w:val="0"/>
          <w:color w:val="auto"/>
          <w:sz w:val="32"/>
          <w:szCs w:val="32"/>
          <w:highlight w:val="none"/>
          <w:lang w:val="en-US" w:eastAsia="zh-CN"/>
        </w:rPr>
        <w:t>3</w:t>
      </w:r>
      <w:r>
        <w:rPr>
          <w:rStyle w:val="17"/>
          <w:rFonts w:hint="default" w:ascii="Times New Roman" w:hAnsi="Times New Roman" w:eastAsia="仿宋" w:cs="Times New Roman"/>
          <w:b w:val="0"/>
          <w:bCs w:val="0"/>
          <w:color w:val="auto"/>
          <w:sz w:val="32"/>
          <w:szCs w:val="32"/>
          <w:highlight w:val="none"/>
        </w:rPr>
        <w:t>.卫生健康（</w:t>
      </w:r>
      <w:r>
        <w:rPr>
          <w:rStyle w:val="17"/>
          <w:rFonts w:hint="default" w:ascii="Times New Roman" w:hAnsi="Times New Roman" w:eastAsia="仿宋" w:cs="Times New Roman"/>
          <w:b w:val="0"/>
          <w:bCs w:val="0"/>
          <w:color w:val="auto"/>
          <w:sz w:val="32"/>
          <w:szCs w:val="32"/>
          <w:highlight w:val="none"/>
          <w:lang w:val="en-US" w:eastAsia="zh-CN"/>
        </w:rPr>
        <w:t>210</w:t>
      </w:r>
      <w:r>
        <w:rPr>
          <w:rStyle w:val="17"/>
          <w:rFonts w:hint="default" w:ascii="Times New Roman" w:hAnsi="Times New Roman" w:eastAsia="仿宋" w:cs="Times New Roman"/>
          <w:b w:val="0"/>
          <w:bCs w:val="0"/>
          <w:color w:val="auto"/>
          <w:sz w:val="32"/>
          <w:szCs w:val="32"/>
          <w:highlight w:val="none"/>
        </w:rPr>
        <w:t>）行政事业单位医疗（</w:t>
      </w:r>
      <w:r>
        <w:rPr>
          <w:rStyle w:val="17"/>
          <w:rFonts w:hint="default" w:ascii="Times New Roman" w:hAnsi="Times New Roman" w:eastAsia="仿宋" w:cs="Times New Roman"/>
          <w:b w:val="0"/>
          <w:bCs w:val="0"/>
          <w:color w:val="auto"/>
          <w:sz w:val="32"/>
          <w:szCs w:val="32"/>
          <w:highlight w:val="none"/>
          <w:lang w:val="en-US" w:eastAsia="zh-CN"/>
        </w:rPr>
        <w:t>11</w:t>
      </w:r>
      <w:r>
        <w:rPr>
          <w:rStyle w:val="17"/>
          <w:rFonts w:hint="default" w:ascii="Times New Roman" w:hAnsi="Times New Roman" w:eastAsia="仿宋" w:cs="Times New Roman"/>
          <w:b w:val="0"/>
          <w:bCs w:val="0"/>
          <w:color w:val="auto"/>
          <w:sz w:val="32"/>
          <w:szCs w:val="32"/>
          <w:highlight w:val="none"/>
        </w:rPr>
        <w:t>）公务员医疗补助（</w:t>
      </w:r>
      <w:r>
        <w:rPr>
          <w:rStyle w:val="17"/>
          <w:rFonts w:hint="default" w:ascii="Times New Roman" w:hAnsi="Times New Roman" w:eastAsia="仿宋" w:cs="Times New Roman"/>
          <w:b w:val="0"/>
          <w:bCs w:val="0"/>
          <w:color w:val="auto"/>
          <w:sz w:val="32"/>
          <w:szCs w:val="32"/>
          <w:highlight w:val="none"/>
          <w:lang w:val="en-US" w:eastAsia="zh-CN"/>
        </w:rPr>
        <w:t>03</w:t>
      </w:r>
      <w:r>
        <w:rPr>
          <w:rStyle w:val="17"/>
          <w:rFonts w:hint="default" w:ascii="Times New Roman" w:hAnsi="Times New Roman" w:eastAsia="仿宋" w:cs="Times New Roman"/>
          <w:b w:val="0"/>
          <w:bCs w:val="0"/>
          <w:color w:val="auto"/>
          <w:sz w:val="32"/>
          <w:szCs w:val="32"/>
          <w:highlight w:val="none"/>
        </w:rPr>
        <w:t>）:支出决算为</w:t>
      </w:r>
      <w:r>
        <w:rPr>
          <w:rStyle w:val="17"/>
          <w:rFonts w:hint="eastAsia" w:ascii="Times New Roman" w:hAnsi="Times New Roman" w:eastAsia="仿宋" w:cs="Times New Roman"/>
          <w:b w:val="0"/>
          <w:bCs w:val="0"/>
          <w:color w:val="auto"/>
          <w:sz w:val="32"/>
          <w:szCs w:val="32"/>
          <w:highlight w:val="none"/>
          <w:lang w:val="en-US" w:eastAsia="zh-CN"/>
        </w:rPr>
        <w:t>32.01</w:t>
      </w:r>
      <w:r>
        <w:rPr>
          <w:rStyle w:val="17"/>
          <w:rFonts w:hint="default" w:ascii="Times New Roman" w:hAnsi="Times New Roman" w:eastAsia="仿宋" w:cs="Times New Roman"/>
          <w:b w:val="0"/>
          <w:bCs w:val="0"/>
          <w:color w:val="auto"/>
          <w:sz w:val="32"/>
          <w:szCs w:val="32"/>
          <w:highlight w:val="none"/>
        </w:rPr>
        <w:t>万元，完成预算</w:t>
      </w:r>
      <w:r>
        <w:rPr>
          <w:rStyle w:val="17"/>
          <w:rFonts w:hint="default" w:ascii="Times New Roman" w:hAnsi="Times New Roman" w:eastAsia="仿宋" w:cs="Times New Roman"/>
          <w:b w:val="0"/>
          <w:bCs w:val="0"/>
          <w:color w:val="auto"/>
          <w:sz w:val="32"/>
          <w:szCs w:val="32"/>
          <w:highlight w:val="none"/>
          <w:lang w:val="en-US" w:eastAsia="zh-CN"/>
        </w:rPr>
        <w:t>100</w:t>
      </w:r>
      <w:r>
        <w:rPr>
          <w:rStyle w:val="17"/>
          <w:rFonts w:hint="default" w:ascii="Times New Roman" w:hAnsi="Times New Roman" w:eastAsia="仿宋" w:cs="Times New Roman"/>
          <w:b w:val="0"/>
          <w:bCs w:val="0"/>
          <w:color w:val="auto"/>
          <w:sz w:val="32"/>
          <w:szCs w:val="32"/>
          <w:highlight w:val="none"/>
        </w:rPr>
        <w:t>%。</w:t>
      </w:r>
    </w:p>
    <w:p w14:paraId="4A55A3B4">
      <w:pPr>
        <w:spacing w:line="600" w:lineRule="exact"/>
        <w:ind w:firstLine="640" w:firstLineChars="200"/>
        <w:rPr>
          <w:rStyle w:val="17"/>
          <w:rFonts w:hint="default" w:ascii="Times New Roman" w:hAnsi="Times New Roman" w:eastAsia="仿宋" w:cs="Times New Roman"/>
          <w:b w:val="0"/>
          <w:bCs w:val="0"/>
          <w:color w:val="auto"/>
          <w:sz w:val="32"/>
          <w:szCs w:val="32"/>
          <w:highlight w:val="none"/>
        </w:rPr>
      </w:pPr>
      <w:r>
        <w:rPr>
          <w:rStyle w:val="17"/>
          <w:rFonts w:hint="default" w:ascii="Times New Roman" w:hAnsi="Times New Roman" w:eastAsia="仿宋" w:cs="Times New Roman"/>
          <w:b w:val="0"/>
          <w:bCs w:val="0"/>
          <w:color w:val="auto"/>
          <w:sz w:val="32"/>
          <w:szCs w:val="32"/>
          <w:highlight w:val="none"/>
          <w:lang w:val="en-US" w:eastAsia="zh-CN"/>
        </w:rPr>
        <w:t>1</w:t>
      </w:r>
      <w:r>
        <w:rPr>
          <w:rStyle w:val="17"/>
          <w:rFonts w:hint="eastAsia" w:ascii="Times New Roman" w:hAnsi="Times New Roman" w:eastAsia="仿宋" w:cs="Times New Roman"/>
          <w:b w:val="0"/>
          <w:bCs w:val="0"/>
          <w:color w:val="auto"/>
          <w:sz w:val="32"/>
          <w:szCs w:val="32"/>
          <w:highlight w:val="none"/>
          <w:lang w:val="en-US" w:eastAsia="zh-CN"/>
        </w:rPr>
        <w:t>4</w:t>
      </w:r>
      <w:r>
        <w:rPr>
          <w:rStyle w:val="17"/>
          <w:rFonts w:hint="default" w:ascii="Times New Roman" w:hAnsi="Times New Roman" w:eastAsia="仿宋" w:cs="Times New Roman"/>
          <w:b w:val="0"/>
          <w:bCs w:val="0"/>
          <w:color w:val="auto"/>
          <w:sz w:val="32"/>
          <w:szCs w:val="32"/>
          <w:highlight w:val="none"/>
        </w:rPr>
        <w:t>.住房保障（</w:t>
      </w:r>
      <w:r>
        <w:rPr>
          <w:rStyle w:val="17"/>
          <w:rFonts w:hint="default" w:ascii="Times New Roman" w:hAnsi="Times New Roman" w:eastAsia="仿宋" w:cs="Times New Roman"/>
          <w:b w:val="0"/>
          <w:bCs w:val="0"/>
          <w:color w:val="auto"/>
          <w:sz w:val="32"/>
          <w:szCs w:val="32"/>
          <w:highlight w:val="none"/>
          <w:lang w:val="en-US" w:eastAsia="zh-CN"/>
        </w:rPr>
        <w:t>221</w:t>
      </w:r>
      <w:r>
        <w:rPr>
          <w:rStyle w:val="17"/>
          <w:rFonts w:hint="default" w:ascii="Times New Roman" w:hAnsi="Times New Roman" w:eastAsia="仿宋" w:cs="Times New Roman"/>
          <w:b w:val="0"/>
          <w:bCs w:val="0"/>
          <w:color w:val="auto"/>
          <w:sz w:val="32"/>
          <w:szCs w:val="32"/>
          <w:highlight w:val="none"/>
        </w:rPr>
        <w:t>）住房改革（</w:t>
      </w:r>
      <w:r>
        <w:rPr>
          <w:rStyle w:val="17"/>
          <w:rFonts w:hint="default" w:ascii="Times New Roman" w:hAnsi="Times New Roman" w:eastAsia="仿宋" w:cs="Times New Roman"/>
          <w:b w:val="0"/>
          <w:bCs w:val="0"/>
          <w:color w:val="auto"/>
          <w:sz w:val="32"/>
          <w:szCs w:val="32"/>
          <w:highlight w:val="none"/>
          <w:lang w:val="en-US" w:eastAsia="zh-CN"/>
        </w:rPr>
        <w:t>02</w:t>
      </w:r>
      <w:r>
        <w:rPr>
          <w:rStyle w:val="17"/>
          <w:rFonts w:hint="default" w:ascii="Times New Roman" w:hAnsi="Times New Roman" w:eastAsia="仿宋" w:cs="Times New Roman"/>
          <w:b w:val="0"/>
          <w:bCs w:val="0"/>
          <w:color w:val="auto"/>
          <w:sz w:val="32"/>
          <w:szCs w:val="32"/>
          <w:highlight w:val="none"/>
        </w:rPr>
        <w:t>）住房公积金（</w:t>
      </w:r>
      <w:r>
        <w:rPr>
          <w:rStyle w:val="17"/>
          <w:rFonts w:hint="default" w:ascii="Times New Roman" w:hAnsi="Times New Roman" w:eastAsia="仿宋" w:cs="Times New Roman"/>
          <w:b w:val="0"/>
          <w:bCs w:val="0"/>
          <w:color w:val="auto"/>
          <w:sz w:val="32"/>
          <w:szCs w:val="32"/>
          <w:highlight w:val="none"/>
          <w:lang w:val="en-US" w:eastAsia="zh-CN"/>
        </w:rPr>
        <w:t>01</w:t>
      </w:r>
      <w:r>
        <w:rPr>
          <w:rStyle w:val="17"/>
          <w:rFonts w:hint="default" w:ascii="Times New Roman" w:hAnsi="Times New Roman" w:eastAsia="仿宋" w:cs="Times New Roman"/>
          <w:b w:val="0"/>
          <w:bCs w:val="0"/>
          <w:color w:val="auto"/>
          <w:sz w:val="32"/>
          <w:szCs w:val="32"/>
          <w:highlight w:val="none"/>
        </w:rPr>
        <w:t>）:支出决算为</w:t>
      </w:r>
      <w:r>
        <w:rPr>
          <w:rStyle w:val="17"/>
          <w:rFonts w:hint="eastAsia" w:ascii="Times New Roman" w:hAnsi="Times New Roman" w:eastAsia="仿宋" w:cs="Times New Roman"/>
          <w:b w:val="0"/>
          <w:bCs w:val="0"/>
          <w:color w:val="auto"/>
          <w:sz w:val="32"/>
          <w:szCs w:val="32"/>
          <w:highlight w:val="none"/>
          <w:lang w:val="en-US" w:eastAsia="zh-CN"/>
        </w:rPr>
        <w:t>155.72</w:t>
      </w:r>
      <w:r>
        <w:rPr>
          <w:rStyle w:val="17"/>
          <w:rFonts w:hint="default" w:ascii="Times New Roman" w:hAnsi="Times New Roman" w:eastAsia="仿宋" w:cs="Times New Roman"/>
          <w:b w:val="0"/>
          <w:bCs w:val="0"/>
          <w:color w:val="auto"/>
          <w:sz w:val="32"/>
          <w:szCs w:val="32"/>
          <w:highlight w:val="none"/>
        </w:rPr>
        <w:t>万元，完成预算</w:t>
      </w:r>
      <w:r>
        <w:rPr>
          <w:rStyle w:val="17"/>
          <w:rFonts w:hint="default" w:ascii="Times New Roman" w:hAnsi="Times New Roman" w:eastAsia="仿宋" w:cs="Times New Roman"/>
          <w:b w:val="0"/>
          <w:bCs w:val="0"/>
          <w:color w:val="auto"/>
          <w:sz w:val="32"/>
          <w:szCs w:val="32"/>
          <w:highlight w:val="none"/>
          <w:lang w:val="en-US" w:eastAsia="zh-CN"/>
        </w:rPr>
        <w:t>100</w:t>
      </w:r>
      <w:r>
        <w:rPr>
          <w:rStyle w:val="17"/>
          <w:rFonts w:hint="default" w:ascii="Times New Roman" w:hAnsi="Times New Roman" w:eastAsia="仿宋" w:cs="Times New Roman"/>
          <w:b w:val="0"/>
          <w:bCs w:val="0"/>
          <w:color w:val="auto"/>
          <w:sz w:val="32"/>
          <w:szCs w:val="32"/>
          <w:highlight w:val="none"/>
        </w:rPr>
        <w:t>%。</w:t>
      </w:r>
    </w:p>
    <w:p w14:paraId="0EC245CD">
      <w:pPr>
        <w:tabs>
          <w:tab w:val="right" w:pos="8306"/>
        </w:tabs>
        <w:spacing w:line="600" w:lineRule="exact"/>
        <w:ind w:firstLine="640"/>
        <w:outlineLvl w:val="1"/>
        <w:rPr>
          <w:rStyle w:val="21"/>
          <w:color w:val="auto"/>
          <w:highlight w:val="none"/>
        </w:rPr>
      </w:pPr>
      <w:bookmarkStart w:id="19" w:name="_Toc8101"/>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般公共预算财政拨款基本支出决算情况说明</w:t>
      </w:r>
      <w:bookmarkEnd w:id="19"/>
      <w:r>
        <w:rPr>
          <w:rStyle w:val="21"/>
          <w:rFonts w:ascii="黑体" w:hAnsi="黑体" w:eastAsia="黑体"/>
          <w:b w:val="0"/>
          <w:color w:val="auto"/>
          <w:highlight w:val="none"/>
        </w:rPr>
        <w:tab/>
      </w:r>
    </w:p>
    <w:p w14:paraId="3B84498D">
      <w:pPr>
        <w:spacing w:line="600" w:lineRule="exact"/>
        <w:ind w:firstLine="645"/>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eastAsia="zh-CN"/>
        </w:rPr>
        <w:t>202</w:t>
      </w:r>
      <w:r>
        <w:rPr>
          <w:rFonts w:hint="default" w:ascii="Times New Roman" w:hAnsi="Times New Roman" w:eastAsia="方正仿宋_GBK" w:cs="Times New Roman"/>
          <w:b w:val="0"/>
          <w:bCs w:val="0"/>
          <w:color w:val="auto"/>
          <w:sz w:val="32"/>
          <w:szCs w:val="32"/>
          <w:highlight w:val="none"/>
          <w:lang w:val="en-US" w:eastAsia="zh-CN"/>
        </w:rPr>
        <w:t>4</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eastAsia="zh-CN"/>
        </w:rPr>
        <w:t>度</w:t>
      </w:r>
      <w:r>
        <w:rPr>
          <w:rFonts w:hint="default" w:ascii="Times New Roman" w:hAnsi="Times New Roman" w:eastAsia="方正仿宋_GBK" w:cs="Times New Roman"/>
          <w:b w:val="0"/>
          <w:bCs w:val="0"/>
          <w:color w:val="auto"/>
          <w:sz w:val="32"/>
          <w:szCs w:val="32"/>
          <w:highlight w:val="none"/>
        </w:rPr>
        <w:t>一般公共预算财政拨款基本支出</w:t>
      </w:r>
      <w:r>
        <w:rPr>
          <w:rFonts w:hint="eastAsia" w:ascii="Times New Roman" w:hAnsi="Times New Roman" w:eastAsia="方正仿宋_GBK" w:cs="Times New Roman"/>
          <w:b w:val="0"/>
          <w:bCs w:val="0"/>
          <w:color w:val="auto"/>
          <w:sz w:val="32"/>
          <w:szCs w:val="32"/>
          <w:highlight w:val="none"/>
          <w:lang w:val="en-US" w:eastAsia="zh-CN"/>
        </w:rPr>
        <w:t>3,697.36</w:t>
      </w:r>
      <w:r>
        <w:rPr>
          <w:rFonts w:hint="default" w:ascii="Times New Roman" w:hAnsi="Times New Roman" w:eastAsia="方正仿宋_GBK" w:cs="Times New Roman"/>
          <w:b w:val="0"/>
          <w:bCs w:val="0"/>
          <w:color w:val="auto"/>
          <w:sz w:val="32"/>
          <w:szCs w:val="32"/>
          <w:highlight w:val="none"/>
        </w:rPr>
        <w:t>万元，其中：</w:t>
      </w:r>
    </w:p>
    <w:p w14:paraId="3F630619">
      <w:pPr>
        <w:spacing w:line="600" w:lineRule="exact"/>
        <w:ind w:firstLine="645"/>
        <w:rPr>
          <w:rFonts w:hint="default" w:ascii="Times New Roman" w:hAnsi="Times New Roman" w:eastAsia="仿宋" w:cs="Times New Roman"/>
          <w:b/>
          <w:color w:val="auto"/>
          <w:sz w:val="32"/>
          <w:szCs w:val="32"/>
          <w:highlight w:val="none"/>
        </w:rPr>
      </w:pPr>
      <w:r>
        <w:rPr>
          <w:rFonts w:hint="default" w:ascii="Times New Roman" w:hAnsi="Times New Roman" w:eastAsia="方正仿宋_GBK" w:cs="Times New Roman"/>
          <w:b w:val="0"/>
          <w:bCs w:val="0"/>
          <w:color w:val="auto"/>
          <w:sz w:val="32"/>
          <w:szCs w:val="32"/>
          <w:highlight w:val="none"/>
        </w:rPr>
        <w:t>人员经费</w:t>
      </w:r>
      <w:r>
        <w:rPr>
          <w:rFonts w:hint="default" w:ascii="Times New Roman" w:hAnsi="Times New Roman" w:eastAsia="方正仿宋_GBK" w:cs="Times New Roman"/>
          <w:b w:val="0"/>
          <w:bCs w:val="0"/>
          <w:color w:val="auto"/>
          <w:sz w:val="32"/>
          <w:szCs w:val="32"/>
          <w:highlight w:val="none"/>
          <w:lang w:val="en-US" w:eastAsia="zh-CN"/>
        </w:rPr>
        <w:t>2,</w:t>
      </w:r>
      <w:r>
        <w:rPr>
          <w:rFonts w:hint="eastAsia" w:ascii="Times New Roman" w:hAnsi="Times New Roman" w:eastAsia="方正仿宋_GBK" w:cs="Times New Roman"/>
          <w:b w:val="0"/>
          <w:bCs w:val="0"/>
          <w:color w:val="auto"/>
          <w:sz w:val="32"/>
          <w:szCs w:val="32"/>
          <w:highlight w:val="none"/>
          <w:lang w:val="en-US" w:eastAsia="zh-CN"/>
        </w:rPr>
        <w:t>414.47</w:t>
      </w:r>
      <w:r>
        <w:rPr>
          <w:rFonts w:hint="default" w:ascii="Times New Roman" w:hAnsi="Times New Roman" w:eastAsia="方正仿宋_GBK" w:cs="Times New Roman"/>
          <w:b w:val="0"/>
          <w:bCs w:val="0"/>
          <w:color w:val="auto"/>
          <w:sz w:val="32"/>
          <w:szCs w:val="32"/>
          <w:highlight w:val="none"/>
        </w:rPr>
        <w:t>万元，主要包括：基本工资</w:t>
      </w:r>
      <w:r>
        <w:rPr>
          <w:rFonts w:hint="eastAsia" w:ascii="Times New Roman" w:hAnsi="Times New Roman" w:eastAsia="方正仿宋_GBK" w:cs="Times New Roman"/>
          <w:b w:val="0"/>
          <w:bCs w:val="0"/>
          <w:color w:val="auto"/>
          <w:sz w:val="32"/>
          <w:szCs w:val="32"/>
          <w:highlight w:val="none"/>
          <w:lang w:val="en-US" w:eastAsia="zh-CN"/>
        </w:rPr>
        <w:t>430.66万元</w:t>
      </w:r>
      <w:r>
        <w:rPr>
          <w:rFonts w:hint="default" w:ascii="Times New Roman" w:hAnsi="Times New Roman" w:eastAsia="方正仿宋_GBK" w:cs="Times New Roman"/>
          <w:b w:val="0"/>
          <w:bCs w:val="0"/>
          <w:color w:val="auto"/>
          <w:sz w:val="32"/>
          <w:szCs w:val="32"/>
          <w:highlight w:val="none"/>
        </w:rPr>
        <w:t>、津贴补贴</w:t>
      </w:r>
      <w:r>
        <w:rPr>
          <w:rFonts w:hint="eastAsia" w:ascii="Times New Roman" w:hAnsi="Times New Roman" w:eastAsia="方正仿宋_GBK" w:cs="Times New Roman"/>
          <w:b w:val="0"/>
          <w:bCs w:val="0"/>
          <w:color w:val="auto"/>
          <w:sz w:val="32"/>
          <w:szCs w:val="32"/>
          <w:highlight w:val="none"/>
          <w:lang w:val="en-US" w:eastAsia="zh-CN"/>
        </w:rPr>
        <w:t>852.08万元</w:t>
      </w:r>
      <w:r>
        <w:rPr>
          <w:rFonts w:hint="default" w:ascii="Times New Roman" w:hAnsi="Times New Roman" w:eastAsia="方正仿宋_GBK" w:cs="Times New Roman"/>
          <w:b w:val="0"/>
          <w:bCs w:val="0"/>
          <w:color w:val="auto"/>
          <w:sz w:val="32"/>
          <w:szCs w:val="32"/>
          <w:highlight w:val="none"/>
        </w:rPr>
        <w:t>、奖金</w:t>
      </w:r>
      <w:r>
        <w:rPr>
          <w:rFonts w:hint="eastAsia" w:ascii="Times New Roman" w:hAnsi="Times New Roman" w:eastAsia="方正仿宋_GBK" w:cs="Times New Roman"/>
          <w:b w:val="0"/>
          <w:bCs w:val="0"/>
          <w:color w:val="auto"/>
          <w:sz w:val="32"/>
          <w:szCs w:val="32"/>
          <w:highlight w:val="none"/>
          <w:lang w:val="en-US" w:eastAsia="zh-CN"/>
        </w:rPr>
        <w:t>136.47万元</w:t>
      </w:r>
      <w:r>
        <w:rPr>
          <w:rFonts w:hint="default"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val="en-US" w:eastAsia="zh-CN"/>
        </w:rPr>
        <w:t>伙食补助费44.36万元、机关事业单位基本养老保险缴费192.80万元、</w:t>
      </w:r>
      <w:r>
        <w:rPr>
          <w:rFonts w:hint="default" w:ascii="Times New Roman" w:hAnsi="Times New Roman" w:eastAsia="方正仿宋_GBK" w:cs="Times New Roman"/>
          <w:b w:val="0"/>
          <w:bCs w:val="0"/>
          <w:color w:val="auto"/>
          <w:sz w:val="32"/>
          <w:szCs w:val="32"/>
          <w:highlight w:val="none"/>
          <w:lang w:eastAsia="zh-CN"/>
        </w:rPr>
        <w:t xml:space="preserve"> </w:t>
      </w:r>
      <w:r>
        <w:rPr>
          <w:rFonts w:hint="default" w:ascii="Times New Roman" w:hAnsi="Times New Roman" w:eastAsia="方正仿宋_GBK" w:cs="Times New Roman"/>
          <w:b w:val="0"/>
          <w:bCs w:val="0"/>
          <w:color w:val="auto"/>
          <w:sz w:val="32"/>
          <w:szCs w:val="32"/>
          <w:highlight w:val="none"/>
        </w:rPr>
        <w:t>职业年金缴费</w:t>
      </w:r>
      <w:r>
        <w:rPr>
          <w:rFonts w:hint="eastAsia" w:ascii="Times New Roman" w:hAnsi="Times New Roman" w:eastAsia="方正仿宋_GBK" w:cs="Times New Roman"/>
          <w:b w:val="0"/>
          <w:bCs w:val="0"/>
          <w:color w:val="auto"/>
          <w:sz w:val="32"/>
          <w:szCs w:val="32"/>
          <w:highlight w:val="none"/>
          <w:lang w:val="en-US" w:eastAsia="zh-CN"/>
        </w:rPr>
        <w:t>95.84万元、</w:t>
      </w:r>
      <w:r>
        <w:rPr>
          <w:rFonts w:hint="default" w:ascii="Times New Roman" w:hAnsi="Times New Roman" w:eastAsia="方正仿宋_GBK" w:cs="Times New Roman"/>
          <w:b w:val="0"/>
          <w:bCs w:val="0"/>
          <w:color w:val="auto"/>
          <w:sz w:val="32"/>
          <w:szCs w:val="32"/>
          <w:highlight w:val="none"/>
          <w:lang w:eastAsia="zh-CN"/>
        </w:rPr>
        <w:t>职工基本医疗保险缴费</w:t>
      </w:r>
      <w:r>
        <w:rPr>
          <w:rFonts w:hint="eastAsia" w:ascii="Times New Roman" w:hAnsi="Times New Roman" w:eastAsia="方正仿宋_GBK" w:cs="Times New Roman"/>
          <w:b w:val="0"/>
          <w:bCs w:val="0"/>
          <w:color w:val="auto"/>
          <w:sz w:val="32"/>
          <w:szCs w:val="32"/>
          <w:highlight w:val="none"/>
          <w:lang w:val="en-US" w:eastAsia="zh-CN"/>
        </w:rPr>
        <w:t>90.92万元</w:t>
      </w:r>
      <w:r>
        <w:rPr>
          <w:rFonts w:hint="default" w:ascii="Times New Roman" w:hAnsi="Times New Roman" w:eastAsia="方正仿宋_GBK" w:cs="Times New Roman"/>
          <w:b w:val="0"/>
          <w:bCs w:val="0"/>
          <w:color w:val="auto"/>
          <w:sz w:val="32"/>
          <w:szCs w:val="32"/>
          <w:highlight w:val="none"/>
        </w:rPr>
        <w:t>、公务员医疗补助缴费</w:t>
      </w:r>
      <w:r>
        <w:rPr>
          <w:rFonts w:hint="eastAsia" w:ascii="Times New Roman" w:hAnsi="Times New Roman" w:eastAsia="方正仿宋_GBK" w:cs="Times New Roman"/>
          <w:b w:val="0"/>
          <w:bCs w:val="0"/>
          <w:color w:val="auto"/>
          <w:sz w:val="32"/>
          <w:szCs w:val="32"/>
          <w:highlight w:val="none"/>
          <w:lang w:val="en-US" w:eastAsia="zh-CN"/>
        </w:rPr>
        <w:t>32.01万元</w:t>
      </w:r>
      <w:r>
        <w:rPr>
          <w:rFonts w:hint="default" w:ascii="Times New Roman" w:hAnsi="Times New Roman" w:eastAsia="方正仿宋_GBK" w:cs="Times New Roman"/>
          <w:b w:val="0"/>
          <w:bCs w:val="0"/>
          <w:color w:val="auto"/>
          <w:sz w:val="32"/>
          <w:szCs w:val="32"/>
          <w:highlight w:val="none"/>
        </w:rPr>
        <w:t>、其他社会保障缴费</w:t>
      </w:r>
      <w:r>
        <w:rPr>
          <w:rFonts w:hint="eastAsia" w:ascii="Times New Roman" w:hAnsi="Times New Roman" w:eastAsia="方正仿宋_GBK" w:cs="Times New Roman"/>
          <w:b w:val="0"/>
          <w:bCs w:val="0"/>
          <w:color w:val="auto"/>
          <w:sz w:val="32"/>
          <w:szCs w:val="32"/>
          <w:highlight w:val="none"/>
          <w:lang w:val="en-US" w:eastAsia="zh-CN"/>
        </w:rPr>
        <w:t>20.53万元</w:t>
      </w:r>
      <w:r>
        <w:rPr>
          <w:rFonts w:hint="default" w:ascii="Times New Roman" w:hAnsi="Times New Roman" w:eastAsia="方正仿宋_GBK" w:cs="Times New Roman"/>
          <w:b w:val="0"/>
          <w:bCs w:val="0"/>
          <w:color w:val="auto"/>
          <w:sz w:val="32"/>
          <w:szCs w:val="32"/>
          <w:highlight w:val="none"/>
        </w:rPr>
        <w:t>、其他工资福利支出</w:t>
      </w:r>
      <w:r>
        <w:rPr>
          <w:rFonts w:hint="eastAsia" w:ascii="Times New Roman" w:hAnsi="Times New Roman" w:eastAsia="方正仿宋_GBK" w:cs="Times New Roman"/>
          <w:b w:val="0"/>
          <w:bCs w:val="0"/>
          <w:color w:val="auto"/>
          <w:sz w:val="32"/>
          <w:szCs w:val="32"/>
          <w:highlight w:val="none"/>
          <w:lang w:val="en-US" w:eastAsia="zh-CN"/>
        </w:rPr>
        <w:t>0万元</w:t>
      </w:r>
      <w:r>
        <w:rPr>
          <w:rFonts w:hint="default" w:ascii="Times New Roman" w:hAnsi="Times New Roman" w:eastAsia="方正仿宋_GBK" w:cs="Times New Roman"/>
          <w:b w:val="0"/>
          <w:bCs w:val="0"/>
          <w:color w:val="auto"/>
          <w:sz w:val="32"/>
          <w:szCs w:val="32"/>
          <w:highlight w:val="none"/>
        </w:rPr>
        <w:t>、生活补助</w:t>
      </w:r>
      <w:r>
        <w:rPr>
          <w:rFonts w:hint="eastAsia" w:ascii="Times New Roman" w:hAnsi="Times New Roman" w:eastAsia="方正仿宋_GBK" w:cs="Times New Roman"/>
          <w:b w:val="0"/>
          <w:bCs w:val="0"/>
          <w:color w:val="auto"/>
          <w:sz w:val="32"/>
          <w:szCs w:val="32"/>
          <w:highlight w:val="none"/>
          <w:lang w:val="en-US" w:eastAsia="zh-CN"/>
        </w:rPr>
        <w:t>341.13万元</w:t>
      </w:r>
      <w:r>
        <w:rPr>
          <w:rFonts w:hint="default" w:ascii="Times New Roman" w:hAnsi="Times New Roman" w:eastAsia="方正仿宋_GBK" w:cs="Times New Roman"/>
          <w:b w:val="0"/>
          <w:bCs w:val="0"/>
          <w:color w:val="auto"/>
          <w:sz w:val="32"/>
          <w:szCs w:val="32"/>
          <w:highlight w:val="none"/>
        </w:rPr>
        <w:t>、</w:t>
      </w:r>
      <w:r>
        <w:rPr>
          <w:rFonts w:hint="default" w:ascii="Times New Roman" w:hAnsi="Times New Roman" w:eastAsia="方正仿宋_GBK" w:cs="Times New Roman"/>
          <w:b w:val="0"/>
          <w:bCs w:val="0"/>
          <w:color w:val="auto"/>
          <w:sz w:val="32"/>
          <w:szCs w:val="32"/>
          <w:highlight w:val="none"/>
          <w:lang w:eastAsia="zh-CN"/>
        </w:rPr>
        <w:t>抚恤金</w:t>
      </w:r>
      <w:r>
        <w:rPr>
          <w:rFonts w:hint="eastAsia" w:ascii="Times New Roman" w:hAnsi="Times New Roman" w:eastAsia="方正仿宋_GBK" w:cs="Times New Roman"/>
          <w:b w:val="0"/>
          <w:bCs w:val="0"/>
          <w:color w:val="auto"/>
          <w:sz w:val="32"/>
          <w:szCs w:val="32"/>
          <w:highlight w:val="none"/>
          <w:lang w:val="en-US" w:eastAsia="zh-CN"/>
        </w:rPr>
        <w:t>21.91万元</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住房公积金</w:t>
      </w:r>
      <w:r>
        <w:rPr>
          <w:rFonts w:hint="eastAsia" w:ascii="Times New Roman" w:hAnsi="Times New Roman" w:eastAsia="方正仿宋_GBK" w:cs="Times New Roman"/>
          <w:b w:val="0"/>
          <w:bCs w:val="0"/>
          <w:color w:val="auto"/>
          <w:sz w:val="32"/>
          <w:szCs w:val="32"/>
          <w:highlight w:val="none"/>
          <w:lang w:val="en-US" w:eastAsia="zh-CN"/>
        </w:rPr>
        <w:t>155.72万元</w:t>
      </w:r>
      <w:r>
        <w:rPr>
          <w:rFonts w:hint="default" w:ascii="Times New Roman" w:hAnsi="Times New Roman" w:eastAsia="方正仿宋_GBK" w:cs="Times New Roman"/>
          <w:b w:val="0"/>
          <w:bCs w:val="0"/>
          <w:color w:val="auto"/>
          <w:sz w:val="32"/>
          <w:szCs w:val="32"/>
          <w:highlight w:val="none"/>
          <w:lang w:eastAsia="zh-CN"/>
        </w:rPr>
        <w:t>、奖励金</w:t>
      </w:r>
      <w:r>
        <w:rPr>
          <w:rFonts w:hint="eastAsia" w:ascii="Times New Roman" w:hAnsi="Times New Roman" w:eastAsia="方正仿宋_GBK" w:cs="Times New Roman"/>
          <w:b w:val="0"/>
          <w:bCs w:val="0"/>
          <w:color w:val="auto"/>
          <w:sz w:val="32"/>
          <w:szCs w:val="32"/>
          <w:highlight w:val="none"/>
          <w:lang w:val="en-US" w:eastAsia="zh-CN"/>
        </w:rPr>
        <w:t>0.04万元、</w:t>
      </w:r>
      <w:r>
        <w:rPr>
          <w:rFonts w:hint="default" w:ascii="Times New Roman" w:hAnsi="Times New Roman" w:eastAsia="方正仿宋_GBK" w:cs="Times New Roman"/>
          <w:b w:val="0"/>
          <w:bCs w:val="0"/>
          <w:color w:val="auto"/>
          <w:sz w:val="32"/>
          <w:szCs w:val="32"/>
          <w:highlight w:val="none"/>
        </w:rPr>
        <w:t>对个人和家庭的补助</w:t>
      </w:r>
      <w:r>
        <w:rPr>
          <w:rFonts w:hint="eastAsia" w:ascii="Times New Roman" w:hAnsi="Times New Roman" w:eastAsia="方正仿宋_GBK" w:cs="Times New Roman"/>
          <w:b w:val="0"/>
          <w:bCs w:val="0"/>
          <w:color w:val="auto"/>
          <w:sz w:val="32"/>
          <w:szCs w:val="32"/>
          <w:highlight w:val="none"/>
          <w:lang w:val="en-US" w:eastAsia="zh-CN"/>
        </w:rPr>
        <w:t>0万元</w:t>
      </w:r>
      <w:r>
        <w:rPr>
          <w:rFonts w:hint="default" w:ascii="Times New Roman" w:hAnsi="Times New Roman" w:eastAsia="方正仿宋_GBK" w:cs="Times New Roman"/>
          <w:b w:val="0"/>
          <w:bCs w:val="0"/>
          <w:color w:val="auto"/>
          <w:sz w:val="32"/>
          <w:szCs w:val="32"/>
          <w:highlight w:val="none"/>
        </w:rPr>
        <w:t>。</w:t>
      </w:r>
      <w:r>
        <w:rPr>
          <w:rFonts w:hint="default" w:ascii="Times New Roman" w:hAnsi="Times New Roman" w:eastAsia="方正仿宋_GBK" w:cs="Times New Roman"/>
          <w:b w:val="0"/>
          <w:bCs w:val="0"/>
          <w:color w:val="auto"/>
          <w:sz w:val="32"/>
          <w:szCs w:val="32"/>
          <w:highlight w:val="none"/>
        </w:rPr>
        <w:br w:type="textWrapping"/>
      </w:r>
      <w:r>
        <w:rPr>
          <w:rFonts w:hint="eastAsia" w:ascii="仿宋" w:hAnsi="仿宋" w:eastAsia="仿宋"/>
          <w:color w:val="auto"/>
          <w:sz w:val="32"/>
          <w:szCs w:val="32"/>
          <w:highlight w:val="none"/>
        </w:rPr>
        <w:t>　　公用经费</w:t>
      </w:r>
      <w:r>
        <w:rPr>
          <w:rFonts w:hint="default" w:ascii="Times New Roman" w:hAnsi="Times New Roman" w:eastAsia="仿宋" w:cs="Times New Roman"/>
          <w:b w:val="0"/>
          <w:bCs w:val="0"/>
          <w:color w:val="auto"/>
          <w:sz w:val="32"/>
          <w:szCs w:val="32"/>
          <w:highlight w:val="none"/>
          <w:lang w:val="en-US" w:eastAsia="zh-CN"/>
        </w:rPr>
        <w:t>1,</w:t>
      </w:r>
      <w:r>
        <w:rPr>
          <w:rFonts w:hint="eastAsia" w:ascii="Times New Roman" w:hAnsi="Times New Roman" w:eastAsia="仿宋" w:cs="Times New Roman"/>
          <w:b w:val="0"/>
          <w:bCs w:val="0"/>
          <w:color w:val="auto"/>
          <w:sz w:val="32"/>
          <w:szCs w:val="32"/>
          <w:highlight w:val="none"/>
          <w:lang w:val="en-US" w:eastAsia="zh-CN"/>
        </w:rPr>
        <w:t>163.29</w:t>
      </w:r>
      <w:r>
        <w:rPr>
          <w:rFonts w:hint="eastAsia" w:ascii="仿宋" w:hAnsi="仿宋" w:eastAsia="仿宋"/>
          <w:color w:val="auto"/>
          <w:sz w:val="32"/>
          <w:szCs w:val="32"/>
          <w:highlight w:val="none"/>
        </w:rPr>
        <w:t>万元，主要包括：</w:t>
      </w:r>
      <w:r>
        <w:rPr>
          <w:rFonts w:hint="default" w:ascii="Times New Roman" w:hAnsi="Times New Roman" w:eastAsia="仿宋" w:cs="Times New Roman"/>
          <w:color w:val="auto"/>
          <w:sz w:val="32"/>
          <w:szCs w:val="32"/>
          <w:highlight w:val="none"/>
        </w:rPr>
        <w:t>办公费</w:t>
      </w:r>
      <w:r>
        <w:rPr>
          <w:rFonts w:hint="default" w:ascii="Times New Roman" w:hAnsi="Times New Roman" w:eastAsia="仿宋" w:cs="Times New Roman"/>
          <w:color w:val="auto"/>
          <w:sz w:val="32"/>
          <w:szCs w:val="32"/>
          <w:highlight w:val="none"/>
          <w:lang w:val="en-US" w:eastAsia="zh-CN"/>
        </w:rPr>
        <w:t>150.77</w:t>
      </w:r>
      <w:r>
        <w:rPr>
          <w:rFonts w:hint="eastAsia" w:ascii="Times New Roman" w:hAnsi="Times New Roman" w:eastAsia="仿宋" w:cs="Times New Roman"/>
          <w:color w:val="auto"/>
          <w:sz w:val="32"/>
          <w:szCs w:val="32"/>
          <w:highlight w:val="none"/>
          <w:lang w:val="en-US" w:eastAsia="zh-CN"/>
        </w:rPr>
        <w:t>万元</w:t>
      </w:r>
      <w:r>
        <w:rPr>
          <w:rFonts w:hint="default" w:ascii="Times New Roman" w:hAnsi="Times New Roman" w:eastAsia="仿宋" w:cs="Times New Roman"/>
          <w:color w:val="auto"/>
          <w:sz w:val="32"/>
          <w:szCs w:val="32"/>
          <w:highlight w:val="none"/>
        </w:rPr>
        <w:t>、咨询费</w:t>
      </w:r>
      <w:r>
        <w:rPr>
          <w:rFonts w:hint="eastAsia" w:ascii="Times New Roman" w:hAnsi="Times New Roman" w:eastAsia="仿宋" w:cs="Times New Roman"/>
          <w:color w:val="auto"/>
          <w:sz w:val="32"/>
          <w:szCs w:val="32"/>
          <w:highlight w:val="none"/>
          <w:lang w:val="en-US" w:eastAsia="zh-CN"/>
        </w:rPr>
        <w:t>0万元</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水费</w:t>
      </w:r>
      <w:r>
        <w:rPr>
          <w:rFonts w:hint="eastAsia" w:ascii="Times New Roman" w:hAnsi="Times New Roman" w:eastAsia="仿宋" w:cs="Times New Roman"/>
          <w:color w:val="auto"/>
          <w:sz w:val="32"/>
          <w:szCs w:val="32"/>
          <w:highlight w:val="none"/>
          <w:lang w:val="en-US" w:eastAsia="zh-CN"/>
        </w:rPr>
        <w:t>1.37万元</w:t>
      </w:r>
      <w:r>
        <w:rPr>
          <w:rFonts w:hint="default" w:ascii="Times New Roman" w:hAnsi="Times New Roman" w:eastAsia="仿宋" w:cs="Times New Roman"/>
          <w:color w:val="auto"/>
          <w:sz w:val="32"/>
          <w:szCs w:val="32"/>
          <w:highlight w:val="none"/>
        </w:rPr>
        <w:t>、电费</w:t>
      </w:r>
      <w:r>
        <w:rPr>
          <w:rFonts w:hint="eastAsia" w:ascii="Times New Roman" w:hAnsi="Times New Roman" w:eastAsia="仿宋" w:cs="Times New Roman"/>
          <w:color w:val="auto"/>
          <w:sz w:val="32"/>
          <w:szCs w:val="32"/>
          <w:highlight w:val="none"/>
          <w:lang w:val="en-US" w:eastAsia="zh-CN"/>
        </w:rPr>
        <w:t>0万元</w:t>
      </w:r>
      <w:r>
        <w:rPr>
          <w:rFonts w:hint="default" w:ascii="Times New Roman" w:hAnsi="Times New Roman" w:eastAsia="仿宋" w:cs="Times New Roman"/>
          <w:color w:val="auto"/>
          <w:sz w:val="32"/>
          <w:szCs w:val="32"/>
          <w:highlight w:val="none"/>
        </w:rPr>
        <w:t>、邮电</w:t>
      </w:r>
      <w:r>
        <w:rPr>
          <w:rFonts w:hint="default" w:ascii="Times New Roman" w:hAnsi="Times New Roman" w:eastAsia="仿宋" w:cs="Times New Roman"/>
          <w:color w:val="auto"/>
          <w:sz w:val="32"/>
          <w:szCs w:val="32"/>
          <w:highlight w:val="none"/>
          <w:lang w:val="en-US" w:eastAsia="zh-CN"/>
        </w:rPr>
        <w:t>费</w:t>
      </w:r>
      <w:r>
        <w:rPr>
          <w:rFonts w:hint="eastAsia" w:ascii="Times New Roman" w:hAnsi="Times New Roman" w:eastAsia="仿宋" w:cs="Times New Roman"/>
          <w:color w:val="auto"/>
          <w:sz w:val="32"/>
          <w:szCs w:val="32"/>
          <w:highlight w:val="none"/>
          <w:lang w:val="en-US" w:eastAsia="zh-CN"/>
        </w:rPr>
        <w:t>76.73万元</w:t>
      </w:r>
      <w:r>
        <w:rPr>
          <w:rFonts w:hint="default" w:ascii="Times New Roman" w:hAnsi="Times New Roman" w:eastAsia="仿宋" w:cs="Times New Roman"/>
          <w:color w:val="auto"/>
          <w:sz w:val="32"/>
          <w:szCs w:val="32"/>
          <w:highlight w:val="none"/>
        </w:rPr>
        <w:t>、差旅费</w:t>
      </w:r>
      <w:r>
        <w:rPr>
          <w:rFonts w:hint="eastAsia" w:ascii="Times New Roman" w:hAnsi="Times New Roman" w:eastAsia="仿宋" w:cs="Times New Roman"/>
          <w:color w:val="auto"/>
          <w:sz w:val="32"/>
          <w:szCs w:val="32"/>
          <w:highlight w:val="none"/>
          <w:lang w:val="en-US" w:eastAsia="zh-CN"/>
        </w:rPr>
        <w:t>250.09万元</w:t>
      </w:r>
      <w:r>
        <w:rPr>
          <w:rFonts w:hint="default" w:ascii="Times New Roman" w:hAnsi="Times New Roman" w:eastAsia="仿宋" w:cs="Times New Roman"/>
          <w:color w:val="auto"/>
          <w:sz w:val="32"/>
          <w:szCs w:val="32"/>
          <w:highlight w:val="none"/>
        </w:rPr>
        <w:t>、公务接待费</w:t>
      </w:r>
      <w:r>
        <w:rPr>
          <w:rFonts w:hint="eastAsia" w:ascii="Times New Roman" w:hAnsi="Times New Roman" w:eastAsia="仿宋" w:cs="Times New Roman"/>
          <w:color w:val="auto"/>
          <w:sz w:val="32"/>
          <w:szCs w:val="32"/>
          <w:highlight w:val="none"/>
          <w:lang w:val="en-US" w:eastAsia="zh-CN"/>
        </w:rPr>
        <w:t>2.15万元</w:t>
      </w:r>
      <w:r>
        <w:rPr>
          <w:rFonts w:hint="default" w:ascii="Times New Roman" w:hAnsi="Times New Roman" w:eastAsia="仿宋" w:cs="Times New Roman"/>
          <w:color w:val="auto"/>
          <w:sz w:val="32"/>
          <w:szCs w:val="32"/>
          <w:highlight w:val="none"/>
        </w:rPr>
        <w:t>、维修（护）费</w:t>
      </w:r>
      <w:r>
        <w:rPr>
          <w:rFonts w:hint="eastAsia" w:ascii="Times New Roman" w:hAnsi="Times New Roman" w:eastAsia="仿宋" w:cs="Times New Roman"/>
          <w:color w:val="auto"/>
          <w:sz w:val="32"/>
          <w:szCs w:val="32"/>
          <w:highlight w:val="none"/>
          <w:lang w:val="en-US" w:eastAsia="zh-CN"/>
        </w:rPr>
        <w:t>106.27万元</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劳务费</w:t>
      </w:r>
      <w:r>
        <w:rPr>
          <w:rFonts w:hint="eastAsia" w:ascii="Times New Roman" w:hAnsi="Times New Roman" w:eastAsia="仿宋" w:cs="Times New Roman"/>
          <w:color w:val="auto"/>
          <w:sz w:val="32"/>
          <w:szCs w:val="32"/>
          <w:highlight w:val="none"/>
          <w:lang w:val="en-US" w:eastAsia="zh-CN"/>
        </w:rPr>
        <w:t>99.38万元</w:t>
      </w:r>
      <w:r>
        <w:rPr>
          <w:rFonts w:hint="default" w:ascii="Times New Roman" w:hAnsi="Times New Roman" w:eastAsia="仿宋" w:cs="Times New Roman"/>
          <w:color w:val="auto"/>
          <w:sz w:val="32"/>
          <w:szCs w:val="32"/>
          <w:highlight w:val="none"/>
        </w:rPr>
        <w:t>、培训费</w:t>
      </w:r>
      <w:r>
        <w:rPr>
          <w:rFonts w:hint="eastAsia" w:ascii="Times New Roman" w:hAnsi="Times New Roman" w:eastAsia="仿宋" w:cs="Times New Roman"/>
          <w:color w:val="auto"/>
          <w:sz w:val="32"/>
          <w:szCs w:val="32"/>
          <w:highlight w:val="none"/>
          <w:lang w:val="en-US" w:eastAsia="zh-CN"/>
        </w:rPr>
        <w:t>35.23万元</w:t>
      </w:r>
      <w:r>
        <w:rPr>
          <w:rFonts w:hint="default" w:ascii="Times New Roman" w:hAnsi="Times New Roman" w:eastAsia="仿宋" w:cs="Times New Roman"/>
          <w:color w:val="auto"/>
          <w:sz w:val="32"/>
          <w:szCs w:val="32"/>
          <w:highlight w:val="none"/>
        </w:rPr>
        <w:t>、工会经费</w:t>
      </w:r>
      <w:r>
        <w:rPr>
          <w:rFonts w:hint="eastAsia" w:ascii="Times New Roman" w:hAnsi="Times New Roman" w:eastAsia="仿宋" w:cs="Times New Roman"/>
          <w:color w:val="auto"/>
          <w:sz w:val="32"/>
          <w:szCs w:val="32"/>
          <w:highlight w:val="none"/>
          <w:lang w:val="en-US" w:eastAsia="zh-CN"/>
        </w:rPr>
        <w:t>0万元</w:t>
      </w:r>
      <w:r>
        <w:rPr>
          <w:rFonts w:hint="default" w:ascii="Times New Roman" w:hAnsi="Times New Roman" w:eastAsia="仿宋" w:cs="Times New Roman"/>
          <w:color w:val="auto"/>
          <w:sz w:val="32"/>
          <w:szCs w:val="32"/>
          <w:highlight w:val="none"/>
        </w:rPr>
        <w:t>、福利费</w:t>
      </w:r>
      <w:r>
        <w:rPr>
          <w:rFonts w:hint="eastAsia" w:ascii="Times New Roman" w:hAnsi="Times New Roman" w:eastAsia="仿宋" w:cs="Times New Roman"/>
          <w:color w:val="auto"/>
          <w:sz w:val="32"/>
          <w:szCs w:val="32"/>
          <w:highlight w:val="none"/>
          <w:lang w:val="en-US" w:eastAsia="zh-CN"/>
        </w:rPr>
        <w:t>27.55万元</w:t>
      </w:r>
      <w:r>
        <w:rPr>
          <w:rFonts w:hint="default" w:ascii="Times New Roman" w:hAnsi="Times New Roman" w:eastAsia="仿宋" w:cs="Times New Roman"/>
          <w:color w:val="auto"/>
          <w:sz w:val="32"/>
          <w:szCs w:val="32"/>
          <w:highlight w:val="none"/>
        </w:rPr>
        <w:t>、公务用车运行维护费</w:t>
      </w:r>
      <w:r>
        <w:rPr>
          <w:rFonts w:hint="eastAsia" w:ascii="Times New Roman" w:hAnsi="Times New Roman" w:eastAsia="仿宋" w:cs="Times New Roman"/>
          <w:color w:val="auto"/>
          <w:sz w:val="32"/>
          <w:szCs w:val="32"/>
          <w:highlight w:val="none"/>
          <w:lang w:val="en-US" w:eastAsia="zh-CN"/>
        </w:rPr>
        <w:t>377.18万元</w:t>
      </w:r>
      <w:r>
        <w:rPr>
          <w:rFonts w:hint="default" w:ascii="Times New Roman" w:hAnsi="Times New Roman" w:eastAsia="仿宋" w:cs="Times New Roman"/>
          <w:color w:val="auto"/>
          <w:sz w:val="32"/>
          <w:szCs w:val="32"/>
          <w:highlight w:val="none"/>
        </w:rPr>
        <w:t>、其他交通费</w:t>
      </w:r>
      <w:r>
        <w:rPr>
          <w:rFonts w:hint="eastAsia" w:ascii="Times New Roman" w:hAnsi="Times New Roman" w:eastAsia="仿宋" w:cs="Times New Roman"/>
          <w:color w:val="auto"/>
          <w:sz w:val="32"/>
          <w:szCs w:val="32"/>
          <w:highlight w:val="none"/>
          <w:lang w:val="en-US" w:eastAsia="zh-CN"/>
        </w:rPr>
        <w:t>25.61万元</w:t>
      </w:r>
      <w:r>
        <w:rPr>
          <w:rFonts w:hint="default" w:ascii="Times New Roman" w:hAnsi="Times New Roman" w:eastAsia="仿宋" w:cs="Times New Roman"/>
          <w:color w:val="auto"/>
          <w:sz w:val="32"/>
          <w:szCs w:val="32"/>
          <w:highlight w:val="none"/>
        </w:rPr>
        <w:t>、其他商品和服务支出</w:t>
      </w:r>
      <w:r>
        <w:rPr>
          <w:rFonts w:hint="eastAsia" w:ascii="Times New Roman" w:hAnsi="Times New Roman" w:eastAsia="仿宋" w:cs="Times New Roman"/>
          <w:color w:val="auto"/>
          <w:sz w:val="32"/>
          <w:szCs w:val="32"/>
          <w:highlight w:val="none"/>
          <w:lang w:val="en-US" w:eastAsia="zh-CN"/>
        </w:rPr>
        <w:t>10.96万元</w:t>
      </w:r>
      <w:r>
        <w:rPr>
          <w:rFonts w:hint="default" w:ascii="Times New Roman" w:hAnsi="Times New Roman" w:eastAsia="仿宋" w:cs="Times New Roman"/>
          <w:color w:val="auto"/>
          <w:sz w:val="32"/>
          <w:szCs w:val="32"/>
          <w:highlight w:val="none"/>
        </w:rPr>
        <w:t>。</w:t>
      </w:r>
    </w:p>
    <w:p w14:paraId="4FCEF46F">
      <w:pPr>
        <w:spacing w:line="600" w:lineRule="exact"/>
        <w:ind w:firstLine="640"/>
        <w:outlineLvl w:val="1"/>
        <w:rPr>
          <w:rStyle w:val="21"/>
          <w:rFonts w:ascii="黑体" w:hAnsi="黑体" w:eastAsia="黑体"/>
          <w:b w:val="0"/>
          <w:color w:val="auto"/>
          <w:highlight w:val="none"/>
        </w:rPr>
      </w:pPr>
      <w:bookmarkStart w:id="20" w:name="_Toc460"/>
      <w:r>
        <w:rPr>
          <w:rFonts w:hint="eastAsia" w:ascii="黑体" w:eastAsia="黑体"/>
          <w:color w:val="auto"/>
          <w:sz w:val="32"/>
          <w:szCs w:val="32"/>
          <w:highlight w:val="none"/>
        </w:rPr>
        <w:t>七、</w:t>
      </w:r>
      <w:r>
        <w:rPr>
          <w:rStyle w:val="21"/>
          <w:rFonts w:hint="eastAsia" w:ascii="黑体" w:hAnsi="黑体" w:eastAsia="黑体"/>
          <w:b w:val="0"/>
          <w:color w:val="auto"/>
          <w:highlight w:val="none"/>
        </w:rPr>
        <w:t>财政拨款</w:t>
      </w:r>
      <w:r>
        <w:rPr>
          <w:rStyle w:val="21"/>
          <w:rFonts w:hint="eastAsia" w:ascii="黑体" w:hAnsi="黑体" w:eastAsia="黑体"/>
          <w:color w:val="auto"/>
          <w:highlight w:val="none"/>
        </w:rPr>
        <w:t>“</w:t>
      </w:r>
      <w:r>
        <w:rPr>
          <w:rStyle w:val="21"/>
          <w:rFonts w:hint="eastAsia" w:ascii="黑体" w:hAnsi="黑体" w:eastAsia="黑体"/>
          <w:b w:val="0"/>
          <w:color w:val="auto"/>
          <w:highlight w:val="none"/>
        </w:rPr>
        <w:t>三公”经费支出决算情况说明</w:t>
      </w:r>
      <w:bookmarkEnd w:id="20"/>
    </w:p>
    <w:p w14:paraId="1AC30801">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（一）“三公”经费财政拨款支出决算总体情况说明</w:t>
      </w:r>
    </w:p>
    <w:p w14:paraId="470D6B33">
      <w:pPr>
        <w:spacing w:line="600" w:lineRule="exact"/>
        <w:ind w:firstLine="640"/>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eastAsia="zh-CN"/>
        </w:rPr>
        <w:t>202</w:t>
      </w:r>
      <w:r>
        <w:rPr>
          <w:rFonts w:hint="eastAsia" w:ascii="Times New Roman" w:hAnsi="Times New Roman" w:eastAsia="仿宋" w:cs="Times New Roman"/>
          <w:b w:val="0"/>
          <w:bCs w:val="0"/>
          <w:color w:val="auto"/>
          <w:sz w:val="32"/>
          <w:szCs w:val="32"/>
          <w:highlight w:val="none"/>
          <w:lang w:val="en-US" w:eastAsia="zh-CN"/>
        </w:rPr>
        <w:t>4</w:t>
      </w:r>
      <w:r>
        <w:rPr>
          <w:rFonts w:hint="default" w:ascii="Times New Roman" w:hAnsi="Times New Roman" w:eastAsia="仿宋" w:cs="Times New Roman"/>
          <w:b w:val="0"/>
          <w:bCs w:val="0"/>
          <w:color w:val="auto"/>
          <w:sz w:val="32"/>
          <w:szCs w:val="32"/>
          <w:highlight w:val="none"/>
        </w:rPr>
        <w:t>年</w:t>
      </w:r>
      <w:r>
        <w:rPr>
          <w:rFonts w:hint="default" w:ascii="Times New Roman" w:hAnsi="Times New Roman" w:eastAsia="仿宋" w:cs="Times New Roman"/>
          <w:b w:val="0"/>
          <w:bCs w:val="0"/>
          <w:color w:val="auto"/>
          <w:sz w:val="32"/>
          <w:szCs w:val="32"/>
          <w:highlight w:val="none"/>
          <w:lang w:eastAsia="zh-CN"/>
        </w:rPr>
        <w:t>度</w:t>
      </w:r>
      <w:r>
        <w:rPr>
          <w:rFonts w:hint="default" w:ascii="Times New Roman" w:hAnsi="Times New Roman" w:eastAsia="仿宋" w:cs="Times New Roman"/>
          <w:b w:val="0"/>
          <w:bCs w:val="0"/>
          <w:color w:val="auto"/>
          <w:sz w:val="32"/>
          <w:szCs w:val="32"/>
          <w:highlight w:val="none"/>
        </w:rPr>
        <w:t>“三公”经费财政拨款支出决算为</w:t>
      </w:r>
      <w:r>
        <w:rPr>
          <w:rFonts w:hint="eastAsia" w:ascii="Times New Roman" w:hAnsi="Times New Roman" w:eastAsia="仿宋" w:cs="Times New Roman"/>
          <w:b w:val="0"/>
          <w:bCs w:val="0"/>
          <w:color w:val="auto"/>
          <w:sz w:val="32"/>
          <w:szCs w:val="32"/>
          <w:highlight w:val="none"/>
          <w:lang w:val="en-US" w:eastAsia="zh-CN"/>
        </w:rPr>
        <w:t>498.93</w:t>
      </w:r>
      <w:r>
        <w:rPr>
          <w:rFonts w:hint="default" w:ascii="Times New Roman" w:hAnsi="Times New Roman" w:eastAsia="仿宋" w:cs="Times New Roman"/>
          <w:b w:val="0"/>
          <w:bCs w:val="0"/>
          <w:color w:val="auto"/>
          <w:sz w:val="32"/>
          <w:szCs w:val="32"/>
          <w:highlight w:val="none"/>
        </w:rPr>
        <w:t>万元，完成预算</w:t>
      </w:r>
      <w:r>
        <w:rPr>
          <w:rFonts w:hint="eastAsia" w:ascii="Times New Roman" w:hAnsi="Times New Roman" w:eastAsia="仿宋" w:cs="Times New Roman"/>
          <w:b w:val="0"/>
          <w:bCs w:val="0"/>
          <w:color w:val="auto"/>
          <w:sz w:val="32"/>
          <w:szCs w:val="32"/>
          <w:highlight w:val="none"/>
          <w:lang w:val="en-US" w:eastAsia="zh-CN"/>
        </w:rPr>
        <w:t>100</w:t>
      </w:r>
      <w:r>
        <w:rPr>
          <w:rFonts w:hint="default" w:ascii="Times New Roman" w:hAnsi="Times New Roman" w:eastAsia="仿宋" w:cs="Times New Roman"/>
          <w:b w:val="0"/>
          <w:bCs w:val="0"/>
          <w:color w:val="auto"/>
          <w:sz w:val="32"/>
          <w:szCs w:val="32"/>
          <w:highlight w:val="none"/>
        </w:rPr>
        <w:t>%，</w:t>
      </w:r>
      <w:r>
        <w:rPr>
          <w:rFonts w:hint="default" w:ascii="Times New Roman" w:hAnsi="Times New Roman" w:eastAsia="仿宋" w:cs="Times New Roman"/>
          <w:b w:val="0"/>
          <w:bCs w:val="0"/>
          <w:color w:val="auto"/>
          <w:sz w:val="32"/>
          <w:szCs w:val="32"/>
          <w:highlight w:val="none"/>
          <w:lang w:eastAsia="zh-CN"/>
        </w:rPr>
        <w:t>较上年度</w:t>
      </w:r>
      <w:r>
        <w:rPr>
          <w:rFonts w:hint="eastAsia" w:ascii="Times New Roman" w:hAnsi="Times New Roman" w:eastAsia="仿宋" w:cs="Times New Roman"/>
          <w:b w:val="0"/>
          <w:bCs w:val="0"/>
          <w:color w:val="auto"/>
          <w:sz w:val="32"/>
          <w:szCs w:val="32"/>
          <w:highlight w:val="none"/>
          <w:lang w:val="en-US" w:eastAsia="zh-CN"/>
        </w:rPr>
        <w:t>增加254.48</w:t>
      </w:r>
      <w:r>
        <w:rPr>
          <w:rFonts w:hint="default" w:ascii="Times New Roman" w:hAnsi="Times New Roman" w:eastAsia="仿宋" w:cs="Times New Roman"/>
          <w:b w:val="0"/>
          <w:bCs w:val="0"/>
          <w:color w:val="auto"/>
          <w:sz w:val="32"/>
          <w:szCs w:val="32"/>
          <w:highlight w:val="none"/>
          <w:lang w:val="en-US" w:eastAsia="zh-CN"/>
        </w:rPr>
        <w:t>万元</w:t>
      </w:r>
      <w:r>
        <w:rPr>
          <w:rFonts w:hint="eastAsia" w:ascii="Times New Roman" w:hAnsi="Times New Roman" w:eastAsia="仿宋" w:cs="Times New Roman"/>
          <w:b w:val="0"/>
          <w:bCs w:val="0"/>
          <w:color w:val="auto"/>
          <w:sz w:val="32"/>
          <w:szCs w:val="32"/>
          <w:highlight w:val="none"/>
          <w:lang w:val="en-US" w:eastAsia="zh-CN"/>
        </w:rPr>
        <w:t>，增加104.10</w:t>
      </w:r>
      <w:r>
        <w:rPr>
          <w:rFonts w:hint="default" w:ascii="Times New Roman" w:hAnsi="Times New Roman" w:eastAsia="仿宋" w:cs="Times New Roman"/>
          <w:b w:val="0"/>
          <w:bCs w:val="0"/>
          <w:color w:val="auto"/>
          <w:sz w:val="32"/>
          <w:szCs w:val="32"/>
          <w:highlight w:val="none"/>
          <w:lang w:val="en-US" w:eastAsia="zh-CN"/>
        </w:rPr>
        <w:t>%。</w:t>
      </w:r>
    </w:p>
    <w:p w14:paraId="153E07F5">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（二）“三公”经费财政拨款支出决算具体情况说明</w:t>
      </w:r>
    </w:p>
    <w:p w14:paraId="0E604091">
      <w:pPr>
        <w:spacing w:line="600" w:lineRule="exact"/>
        <w:ind w:firstLine="640"/>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eastAsia="zh-CN"/>
        </w:rPr>
        <w:t>202</w:t>
      </w:r>
      <w:r>
        <w:rPr>
          <w:rFonts w:hint="eastAsia" w:ascii="Times New Roman" w:hAnsi="Times New Roman" w:eastAsia="方正仿宋_GBK" w:cs="Times New Roman"/>
          <w:b w:val="0"/>
          <w:bCs w:val="0"/>
          <w:color w:val="auto"/>
          <w:sz w:val="32"/>
          <w:szCs w:val="32"/>
          <w:highlight w:val="none"/>
          <w:lang w:val="en-US" w:eastAsia="zh-CN"/>
        </w:rPr>
        <w:t>4</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eastAsia="zh-CN"/>
        </w:rPr>
        <w:t>度</w:t>
      </w:r>
      <w:r>
        <w:rPr>
          <w:rFonts w:hint="default" w:ascii="Times New Roman" w:hAnsi="Times New Roman" w:eastAsia="方正仿宋_GBK" w:cs="Times New Roman"/>
          <w:b w:val="0"/>
          <w:bCs w:val="0"/>
          <w:color w:val="auto"/>
          <w:sz w:val="32"/>
          <w:szCs w:val="32"/>
          <w:highlight w:val="none"/>
        </w:rPr>
        <w:t>“三公”经费财政拨款支出决算中，因公出国（境）费支出决算</w:t>
      </w:r>
      <w:r>
        <w:rPr>
          <w:rFonts w:hint="default" w:ascii="Times New Roman" w:hAnsi="Times New Roman" w:eastAsia="方正仿宋_GBK" w:cs="Times New Roman"/>
          <w:b w:val="0"/>
          <w:bCs w:val="0"/>
          <w:color w:val="auto"/>
          <w:sz w:val="32"/>
          <w:szCs w:val="32"/>
          <w:highlight w:val="none"/>
          <w:lang w:val="en-US" w:eastAsia="zh-CN"/>
        </w:rPr>
        <w:t>0</w:t>
      </w:r>
      <w:r>
        <w:rPr>
          <w:rFonts w:hint="default" w:ascii="Times New Roman" w:hAnsi="Times New Roman" w:eastAsia="方正仿宋_GBK" w:cs="Times New Roman"/>
          <w:b w:val="0"/>
          <w:bCs w:val="0"/>
          <w:color w:val="auto"/>
          <w:sz w:val="32"/>
          <w:szCs w:val="32"/>
          <w:highlight w:val="none"/>
        </w:rPr>
        <w:t>万元，占</w:t>
      </w:r>
      <w:r>
        <w:rPr>
          <w:rFonts w:hint="default" w:ascii="Times New Roman" w:hAnsi="Times New Roman" w:eastAsia="方正仿宋_GBK" w:cs="Times New Roman"/>
          <w:b w:val="0"/>
          <w:bCs w:val="0"/>
          <w:color w:val="auto"/>
          <w:sz w:val="32"/>
          <w:szCs w:val="32"/>
          <w:highlight w:val="none"/>
          <w:lang w:val="en-US" w:eastAsia="zh-CN"/>
        </w:rPr>
        <w:t>0</w:t>
      </w:r>
      <w:r>
        <w:rPr>
          <w:rFonts w:hint="default" w:ascii="Times New Roman" w:hAnsi="Times New Roman" w:eastAsia="方正仿宋_GBK" w:cs="Times New Roman"/>
          <w:b w:val="0"/>
          <w:bCs w:val="0"/>
          <w:color w:val="auto"/>
          <w:sz w:val="32"/>
          <w:szCs w:val="32"/>
          <w:highlight w:val="none"/>
        </w:rPr>
        <w:t>%；公务用车购置及运行维护费支出决算</w:t>
      </w:r>
      <w:r>
        <w:rPr>
          <w:rFonts w:hint="eastAsia" w:ascii="Times New Roman" w:hAnsi="Times New Roman" w:eastAsia="方正仿宋_GBK" w:cs="Times New Roman"/>
          <w:b w:val="0"/>
          <w:bCs w:val="0"/>
          <w:color w:val="auto"/>
          <w:sz w:val="32"/>
          <w:szCs w:val="32"/>
          <w:highlight w:val="none"/>
          <w:lang w:val="en-US" w:eastAsia="zh-CN"/>
        </w:rPr>
        <w:t>496.78</w:t>
      </w:r>
      <w:r>
        <w:rPr>
          <w:rFonts w:hint="default" w:ascii="Times New Roman" w:hAnsi="Times New Roman" w:eastAsia="方正仿宋_GBK" w:cs="Times New Roman"/>
          <w:b w:val="0"/>
          <w:bCs w:val="0"/>
          <w:color w:val="auto"/>
          <w:sz w:val="32"/>
          <w:szCs w:val="32"/>
          <w:highlight w:val="none"/>
        </w:rPr>
        <w:t>万元，占</w:t>
      </w:r>
      <w:r>
        <w:rPr>
          <w:rFonts w:hint="default" w:ascii="Times New Roman" w:hAnsi="Times New Roman" w:eastAsia="方正仿宋_GBK" w:cs="Times New Roman"/>
          <w:b w:val="0"/>
          <w:bCs w:val="0"/>
          <w:color w:val="auto"/>
          <w:sz w:val="32"/>
          <w:szCs w:val="32"/>
          <w:highlight w:val="none"/>
          <w:lang w:val="en-US" w:eastAsia="zh-CN"/>
        </w:rPr>
        <w:t>99.</w:t>
      </w:r>
      <w:r>
        <w:rPr>
          <w:rFonts w:hint="eastAsia" w:ascii="Times New Roman" w:hAnsi="Times New Roman" w:eastAsia="方正仿宋_GBK" w:cs="Times New Roman"/>
          <w:b w:val="0"/>
          <w:bCs w:val="0"/>
          <w:color w:val="auto"/>
          <w:sz w:val="32"/>
          <w:szCs w:val="32"/>
          <w:highlight w:val="none"/>
          <w:lang w:val="en-US" w:eastAsia="zh-CN"/>
        </w:rPr>
        <w:t>56</w:t>
      </w:r>
      <w:r>
        <w:rPr>
          <w:rFonts w:hint="default" w:ascii="Times New Roman" w:hAnsi="Times New Roman" w:eastAsia="方正仿宋_GBK" w:cs="Times New Roman"/>
          <w:b w:val="0"/>
          <w:bCs w:val="0"/>
          <w:color w:val="auto"/>
          <w:sz w:val="32"/>
          <w:szCs w:val="32"/>
          <w:highlight w:val="none"/>
        </w:rPr>
        <w:t>%；公务接待费支出决算</w:t>
      </w:r>
      <w:r>
        <w:rPr>
          <w:rFonts w:hint="eastAsia" w:ascii="Times New Roman" w:hAnsi="Times New Roman" w:eastAsia="方正仿宋_GBK" w:cs="Times New Roman"/>
          <w:b w:val="0"/>
          <w:bCs w:val="0"/>
          <w:color w:val="auto"/>
          <w:sz w:val="32"/>
          <w:szCs w:val="32"/>
          <w:highlight w:val="none"/>
          <w:lang w:val="en-US" w:eastAsia="zh-CN"/>
        </w:rPr>
        <w:t>2.15</w:t>
      </w:r>
      <w:r>
        <w:rPr>
          <w:rFonts w:hint="default" w:ascii="Times New Roman" w:hAnsi="Times New Roman" w:eastAsia="方正仿宋_GBK" w:cs="Times New Roman"/>
          <w:b w:val="0"/>
          <w:bCs w:val="0"/>
          <w:color w:val="auto"/>
          <w:sz w:val="32"/>
          <w:szCs w:val="32"/>
          <w:highlight w:val="none"/>
        </w:rPr>
        <w:t>万元，占</w:t>
      </w:r>
      <w:r>
        <w:rPr>
          <w:rFonts w:hint="default" w:ascii="Times New Roman" w:hAnsi="Times New Roman" w:eastAsia="方正仿宋_GBK" w:cs="Times New Roman"/>
          <w:b w:val="0"/>
          <w:bCs w:val="0"/>
          <w:color w:val="auto"/>
          <w:sz w:val="32"/>
          <w:szCs w:val="32"/>
          <w:highlight w:val="none"/>
          <w:lang w:val="en-US" w:eastAsia="zh-CN"/>
        </w:rPr>
        <w:t>0.</w:t>
      </w:r>
      <w:r>
        <w:rPr>
          <w:rFonts w:hint="eastAsia" w:ascii="Times New Roman" w:hAnsi="Times New Roman" w:eastAsia="方正仿宋_GBK" w:cs="Times New Roman"/>
          <w:b w:val="0"/>
          <w:bCs w:val="0"/>
          <w:color w:val="auto"/>
          <w:sz w:val="32"/>
          <w:szCs w:val="32"/>
          <w:highlight w:val="none"/>
          <w:lang w:val="en-US" w:eastAsia="zh-CN"/>
        </w:rPr>
        <w:t>44</w:t>
      </w:r>
      <w:r>
        <w:rPr>
          <w:rFonts w:hint="default" w:ascii="Times New Roman" w:hAnsi="Times New Roman" w:eastAsia="方正仿宋_GBK" w:cs="Times New Roman"/>
          <w:b w:val="0"/>
          <w:bCs w:val="0"/>
          <w:color w:val="auto"/>
          <w:sz w:val="32"/>
          <w:szCs w:val="32"/>
          <w:highlight w:val="none"/>
        </w:rPr>
        <w:t>%。具体情况如下：</w:t>
      </w:r>
    </w:p>
    <w:p w14:paraId="49F4C119">
      <w:pPr>
        <w:pStyle w:val="18"/>
      </w:pPr>
    </w:p>
    <w:p w14:paraId="5AAB50D9">
      <w:pPr>
        <w:pStyle w:val="18"/>
      </w:pPr>
      <w:r>
        <w:rPr>
          <w:rFonts w:hint="eastAsia" w:eastAsia="宋体"/>
          <w:lang w:eastAsia="zh-CN"/>
        </w:rPr>
        <w:drawing>
          <wp:inline distT="0" distB="0" distL="114300" distR="114300">
            <wp:extent cx="4051300" cy="2287905"/>
            <wp:effectExtent l="4445" t="4445" r="20955" b="12700"/>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3E7107">
      <w:pPr>
        <w:spacing w:line="600" w:lineRule="exact"/>
        <w:ind w:firstLine="64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14:paraId="2E51E0BA">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sz w:val="32"/>
          <w:szCs w:val="32"/>
        </w:rPr>
        <w:t>因公出国（境）支出决算</w:t>
      </w:r>
      <w:r>
        <w:rPr>
          <w:rFonts w:hint="eastAsia" w:ascii="仿宋_GB2312" w:eastAsia="仿宋_GB2312"/>
          <w:sz w:val="32"/>
          <w:szCs w:val="32"/>
          <w:lang w:val="en-US" w:eastAsia="zh-CN"/>
        </w:rPr>
        <w:t>与</w:t>
      </w:r>
      <w:r>
        <w:rPr>
          <w:rFonts w:hint="eastAsia" w:ascii="仿宋_GB2312" w:eastAsia="仿宋_GB2312"/>
          <w:sz w:val="32"/>
          <w:szCs w:val="32"/>
        </w:rPr>
        <w:t>2022年</w:t>
      </w:r>
      <w:r>
        <w:rPr>
          <w:rFonts w:hint="eastAsia" w:ascii="仿宋_GB2312" w:eastAsia="仿宋_GB2312"/>
          <w:sz w:val="32"/>
          <w:szCs w:val="32"/>
          <w:lang w:val="en-US" w:eastAsia="zh-CN"/>
        </w:rPr>
        <w:t>保持一致</w:t>
      </w:r>
      <w:r>
        <w:rPr>
          <w:rFonts w:hint="eastAsia" w:ascii="仿宋_GB2312" w:eastAsia="仿宋_GB2312"/>
          <w:sz w:val="32"/>
          <w:szCs w:val="32"/>
        </w:rPr>
        <w:t>。</w:t>
      </w:r>
    </w:p>
    <w:p w14:paraId="1D5E4653">
      <w:pPr>
        <w:spacing w:line="600" w:lineRule="exact"/>
        <w:ind w:firstLine="640"/>
        <w:rPr>
          <w:rFonts w:hint="eastAsia" w:ascii="方正仿宋_GBK" w:hAnsi="方正仿宋_GBK" w:eastAsia="方正仿宋_GBK" w:cs="方正仿宋_GBK"/>
          <w:b/>
          <w:color w:val="auto"/>
          <w:sz w:val="32"/>
          <w:szCs w:val="32"/>
          <w:highlight w:val="none"/>
        </w:rPr>
      </w:pPr>
      <w:r>
        <w:rPr>
          <w:rFonts w:hint="default" w:ascii="Times New Roman" w:hAnsi="Times New Roman" w:eastAsia="仿宋_GB2312" w:cs="Times New Roman"/>
          <w:b w:val="0"/>
          <w:bCs/>
          <w:color w:val="auto"/>
          <w:sz w:val="32"/>
          <w:szCs w:val="32"/>
          <w:highlight w:val="none"/>
        </w:rPr>
        <w:t>2.</w:t>
      </w:r>
      <w:r>
        <w:rPr>
          <w:rFonts w:hint="default" w:ascii="Times New Roman" w:hAnsi="Times New Roman" w:eastAsia="方正仿宋_GBK" w:cs="Times New Roman"/>
          <w:b w:val="0"/>
          <w:bCs/>
          <w:color w:val="auto"/>
          <w:sz w:val="32"/>
          <w:szCs w:val="32"/>
          <w:highlight w:val="none"/>
        </w:rPr>
        <w:t>公务用车购置及运行维护费支出</w:t>
      </w:r>
      <w:r>
        <w:rPr>
          <w:rFonts w:hint="eastAsia" w:ascii="Times New Roman" w:hAnsi="Times New Roman" w:eastAsia="方正仿宋_GBK" w:cs="Times New Roman"/>
          <w:b w:val="0"/>
          <w:bCs/>
          <w:color w:val="auto"/>
          <w:sz w:val="32"/>
          <w:szCs w:val="32"/>
          <w:highlight w:val="none"/>
          <w:lang w:val="en-US" w:eastAsia="zh-CN"/>
        </w:rPr>
        <w:t>4</w:t>
      </w:r>
      <w:r>
        <w:rPr>
          <w:rFonts w:hint="default" w:ascii="Times New Roman" w:hAnsi="Times New Roman" w:eastAsia="方正仿宋_GBK" w:cs="Times New Roman"/>
          <w:b w:val="0"/>
          <w:bCs/>
          <w:color w:val="auto"/>
          <w:sz w:val="32"/>
          <w:szCs w:val="32"/>
          <w:highlight w:val="none"/>
          <w:lang w:val="en-US" w:eastAsia="zh-CN"/>
        </w:rPr>
        <w:t>98.93</w:t>
      </w:r>
      <w:r>
        <w:rPr>
          <w:rFonts w:hint="default" w:ascii="Times New Roman" w:hAnsi="Times New Roman" w:eastAsia="方正仿宋_GBK" w:cs="Times New Roman"/>
          <w:b w:val="0"/>
          <w:bCs/>
          <w:color w:val="auto"/>
          <w:sz w:val="32"/>
          <w:szCs w:val="32"/>
          <w:highlight w:val="none"/>
        </w:rPr>
        <w:t>万元,</w:t>
      </w:r>
      <w:r>
        <w:rPr>
          <w:rStyle w:val="17"/>
          <w:rFonts w:hint="default" w:ascii="Times New Roman" w:hAnsi="Times New Roman" w:eastAsia="方正仿宋_GBK" w:cs="Times New Roman"/>
          <w:b w:val="0"/>
          <w:bCs/>
          <w:color w:val="auto"/>
          <w:sz w:val="32"/>
          <w:szCs w:val="32"/>
          <w:highlight w:val="none"/>
        </w:rPr>
        <w:t>完成预算</w:t>
      </w:r>
      <w:r>
        <w:rPr>
          <w:rStyle w:val="17"/>
          <w:rFonts w:hint="default" w:ascii="Times New Roman" w:hAnsi="Times New Roman" w:eastAsia="方正仿宋_GBK" w:cs="Times New Roman"/>
          <w:b w:val="0"/>
          <w:bCs/>
          <w:color w:val="auto"/>
          <w:sz w:val="32"/>
          <w:szCs w:val="32"/>
          <w:highlight w:val="none"/>
          <w:lang w:val="en-US" w:eastAsia="zh-CN"/>
        </w:rPr>
        <w:t>100</w:t>
      </w:r>
      <w:r>
        <w:rPr>
          <w:rStyle w:val="17"/>
          <w:rFonts w:hint="default" w:ascii="Times New Roman" w:hAnsi="Times New Roman" w:eastAsia="方正仿宋_GBK" w:cs="Times New Roman"/>
          <w:b w:val="0"/>
          <w:bCs/>
          <w:color w:val="auto"/>
          <w:sz w:val="32"/>
          <w:szCs w:val="32"/>
          <w:highlight w:val="none"/>
        </w:rPr>
        <w:t>%。</w:t>
      </w:r>
      <w:r>
        <w:rPr>
          <w:rFonts w:hint="default" w:ascii="Times New Roman" w:hAnsi="Times New Roman" w:eastAsia="方正仿宋_GBK" w:cs="Times New Roman"/>
          <w:b w:val="0"/>
          <w:bCs/>
          <w:color w:val="auto"/>
          <w:sz w:val="32"/>
          <w:szCs w:val="32"/>
          <w:highlight w:val="none"/>
        </w:rPr>
        <w:t>公务用车购置及运行维护费支出决算比</w:t>
      </w:r>
      <w:r>
        <w:rPr>
          <w:rFonts w:hint="default" w:ascii="Times New Roman" w:hAnsi="Times New Roman" w:eastAsia="方正仿宋_GBK" w:cs="Times New Roman"/>
          <w:b w:val="0"/>
          <w:bCs/>
          <w:color w:val="auto"/>
          <w:sz w:val="32"/>
          <w:szCs w:val="32"/>
          <w:highlight w:val="none"/>
          <w:lang w:eastAsia="zh-CN"/>
        </w:rPr>
        <w:t>202</w:t>
      </w:r>
      <w:r>
        <w:rPr>
          <w:rFonts w:hint="default" w:ascii="Times New Roman" w:hAnsi="Times New Roman" w:eastAsia="方正仿宋_GBK" w:cs="Times New Roman"/>
          <w:b w:val="0"/>
          <w:bCs/>
          <w:color w:val="auto"/>
          <w:sz w:val="32"/>
          <w:szCs w:val="32"/>
          <w:highlight w:val="none"/>
          <w:lang w:val="en-US" w:eastAsia="zh-CN"/>
        </w:rPr>
        <w:t>3</w:t>
      </w:r>
      <w:r>
        <w:rPr>
          <w:rFonts w:hint="default" w:ascii="Times New Roman" w:hAnsi="Times New Roman" w:eastAsia="方正仿宋_GBK" w:cs="Times New Roman"/>
          <w:b w:val="0"/>
          <w:bCs/>
          <w:color w:val="auto"/>
          <w:sz w:val="32"/>
          <w:szCs w:val="32"/>
          <w:highlight w:val="none"/>
        </w:rPr>
        <w:t>年</w:t>
      </w:r>
      <w:r>
        <w:rPr>
          <w:rFonts w:hint="default" w:ascii="Times New Roman" w:hAnsi="Times New Roman" w:eastAsia="方正仿宋_GBK" w:cs="Times New Roman"/>
          <w:b w:val="0"/>
          <w:bCs/>
          <w:color w:val="auto"/>
          <w:sz w:val="32"/>
          <w:szCs w:val="32"/>
          <w:highlight w:val="none"/>
          <w:lang w:eastAsia="zh-CN"/>
        </w:rPr>
        <w:t>度</w:t>
      </w:r>
      <w:r>
        <w:rPr>
          <w:rFonts w:hint="default" w:ascii="Times New Roman" w:hAnsi="Times New Roman" w:eastAsia="方正仿宋_GBK" w:cs="Times New Roman"/>
          <w:b w:val="0"/>
          <w:bCs/>
          <w:color w:val="auto"/>
          <w:sz w:val="32"/>
          <w:szCs w:val="32"/>
          <w:highlight w:val="none"/>
          <w:lang w:val="en-US" w:eastAsia="zh-CN"/>
        </w:rPr>
        <w:t>增加253.71</w:t>
      </w:r>
      <w:r>
        <w:rPr>
          <w:rFonts w:hint="default" w:ascii="Times New Roman" w:hAnsi="Times New Roman" w:eastAsia="方正仿宋_GBK" w:cs="Times New Roman"/>
          <w:b w:val="0"/>
          <w:bCs/>
          <w:color w:val="auto"/>
          <w:sz w:val="32"/>
          <w:szCs w:val="32"/>
          <w:highlight w:val="none"/>
        </w:rPr>
        <w:t>万元，</w:t>
      </w:r>
      <w:r>
        <w:rPr>
          <w:rFonts w:hint="default" w:ascii="Times New Roman" w:hAnsi="Times New Roman" w:eastAsia="方正仿宋_GBK" w:cs="Times New Roman"/>
          <w:b w:val="0"/>
          <w:bCs/>
          <w:color w:val="auto"/>
          <w:sz w:val="32"/>
          <w:szCs w:val="32"/>
          <w:highlight w:val="none"/>
          <w:lang w:val="en-US" w:eastAsia="zh-CN"/>
        </w:rPr>
        <w:t>增涨106.40</w:t>
      </w:r>
      <w:r>
        <w:rPr>
          <w:rFonts w:hint="default" w:ascii="Times New Roman" w:hAnsi="Times New Roman" w:eastAsia="方正仿宋_GBK" w:cs="Times New Roman"/>
          <w:b w:val="0"/>
          <w:bCs/>
          <w:color w:val="auto"/>
          <w:sz w:val="32"/>
          <w:szCs w:val="32"/>
          <w:highlight w:val="none"/>
        </w:rPr>
        <w:t>%。主</w:t>
      </w:r>
      <w:r>
        <w:rPr>
          <w:rFonts w:hint="default" w:ascii="Times New Roman" w:hAnsi="Times New Roman" w:eastAsia="方正仿宋_GBK" w:cs="Times New Roman"/>
          <w:color w:val="auto"/>
          <w:sz w:val="32"/>
          <w:szCs w:val="32"/>
          <w:highlight w:val="none"/>
        </w:rPr>
        <w:t>要原因是</w:t>
      </w:r>
      <w:r>
        <w:rPr>
          <w:rFonts w:hint="default" w:ascii="Times New Roman" w:hAnsi="Times New Roman" w:eastAsia="方正仿宋_GBK" w:cs="Times New Roman"/>
          <w:color w:val="000000"/>
          <w:sz w:val="32"/>
          <w:szCs w:val="32"/>
          <w:lang w:val="en-US" w:eastAsia="zh-CN"/>
        </w:rPr>
        <w:t>机关新购公务用车2辆，</w:t>
      </w:r>
      <w:r>
        <w:rPr>
          <w:rFonts w:hint="default" w:ascii="Times New Roman" w:hAnsi="Times New Roman" w:eastAsia="方正仿宋_GBK" w:cs="Times New Roman"/>
          <w:spacing w:val="11"/>
          <w:sz w:val="32"/>
          <w:lang w:val="en-US" w:eastAsia="zh-CN"/>
        </w:rPr>
        <w:t>新调入5名领导干部，组织开展州委安排的联心同行和托底帮扶等相关工作、省人大安排</w:t>
      </w:r>
      <w:r>
        <w:rPr>
          <w:rFonts w:hint="default" w:ascii="Times New Roman" w:hAnsi="Times New Roman" w:eastAsia="方正仿宋_GBK" w:cs="Times New Roman"/>
          <w:kern w:val="2"/>
          <w:sz w:val="32"/>
          <w:szCs w:val="32"/>
          <w:vertAlign w:val="baseline"/>
        </w:rPr>
        <w:t>全国</w:t>
      </w:r>
      <w:r>
        <w:rPr>
          <w:rFonts w:hint="default" w:ascii="Times New Roman" w:hAnsi="Times New Roman" w:eastAsia="方正仿宋_GBK" w:cs="Times New Roman"/>
          <w:kern w:val="2"/>
          <w:sz w:val="32"/>
          <w:szCs w:val="32"/>
          <w:vertAlign w:val="baseline"/>
          <w:lang w:val="en-US" w:eastAsia="zh-CN"/>
        </w:rPr>
        <w:t>和</w:t>
      </w:r>
      <w:r>
        <w:rPr>
          <w:rFonts w:hint="default" w:ascii="Times New Roman" w:hAnsi="Times New Roman" w:eastAsia="方正仿宋_GBK" w:cs="Times New Roman"/>
          <w:kern w:val="2"/>
          <w:sz w:val="32"/>
          <w:szCs w:val="32"/>
          <w:vertAlign w:val="baseline"/>
        </w:rPr>
        <w:t>省人大代表</w:t>
      </w:r>
      <w:r>
        <w:rPr>
          <w:rFonts w:hint="default" w:ascii="Times New Roman" w:hAnsi="Times New Roman" w:eastAsia="方正仿宋_GBK" w:cs="Times New Roman"/>
          <w:kern w:val="2"/>
          <w:sz w:val="32"/>
          <w:szCs w:val="32"/>
          <w:vertAlign w:val="baseline"/>
          <w:lang w:val="en-US" w:eastAsia="zh-CN"/>
        </w:rPr>
        <w:t>来州开展</w:t>
      </w:r>
      <w:r>
        <w:rPr>
          <w:rFonts w:hint="default" w:ascii="Times New Roman" w:hAnsi="Times New Roman" w:eastAsia="方正仿宋_GBK" w:cs="Times New Roman"/>
          <w:spacing w:val="11"/>
          <w:sz w:val="32"/>
          <w:lang w:val="en-US" w:eastAsia="zh-CN"/>
        </w:rPr>
        <w:t>执法检查、专题调研、代表视察等工作增加</w:t>
      </w:r>
      <w:r>
        <w:rPr>
          <w:rFonts w:hint="eastAsia" w:ascii="方正仿宋_GBK" w:hAnsi="方正仿宋_GBK" w:eastAsia="方正仿宋_GBK" w:cs="方正仿宋_GBK"/>
          <w:color w:val="333333"/>
          <w:sz w:val="32"/>
          <w:szCs w:val="32"/>
        </w:rPr>
        <w:t>。</w:t>
      </w:r>
    </w:p>
    <w:p w14:paraId="33EA4911">
      <w:pPr>
        <w:spacing w:line="600" w:lineRule="exact"/>
        <w:ind w:firstLine="640" w:firstLineChars="200"/>
        <w:rPr>
          <w:rFonts w:hint="default" w:ascii="Times New Roman" w:hAnsi="Times New Roman" w:eastAsia="方正仿宋_GBK" w:cs="Times New Roman"/>
          <w:b/>
          <w:color w:val="auto"/>
          <w:sz w:val="32"/>
          <w:szCs w:val="32"/>
          <w:highlight w:val="none"/>
        </w:rPr>
      </w:pPr>
      <w:r>
        <w:rPr>
          <w:rFonts w:hint="default" w:ascii="Times New Roman" w:hAnsi="Times New Roman" w:eastAsia="方正仿宋_GBK" w:cs="Times New Roman"/>
          <w:color w:val="auto"/>
          <w:sz w:val="32"/>
          <w:szCs w:val="32"/>
          <w:highlight w:val="none"/>
        </w:rPr>
        <w:t>其中：</w:t>
      </w:r>
      <w:r>
        <w:rPr>
          <w:rFonts w:hint="default" w:ascii="Times New Roman" w:hAnsi="Times New Roman" w:eastAsia="方正仿宋_GBK" w:cs="Times New Roman"/>
          <w:b/>
          <w:color w:val="auto"/>
          <w:sz w:val="32"/>
          <w:szCs w:val="32"/>
          <w:highlight w:val="none"/>
        </w:rPr>
        <w:t>公务用车购置支出</w:t>
      </w:r>
      <w:r>
        <w:rPr>
          <w:rFonts w:hint="default" w:ascii="Times New Roman" w:hAnsi="Times New Roman" w:eastAsia="方正仿宋_GBK" w:cs="Times New Roman"/>
          <w:color w:val="auto"/>
          <w:sz w:val="32"/>
          <w:szCs w:val="32"/>
          <w:highlight w:val="none"/>
          <w:lang w:val="en-US" w:eastAsia="zh-CN"/>
        </w:rPr>
        <w:t>119.60</w:t>
      </w:r>
      <w:r>
        <w:rPr>
          <w:rFonts w:hint="default" w:ascii="Times New Roman" w:hAnsi="Times New Roman" w:eastAsia="方正仿宋_GBK" w:cs="Times New Roman"/>
          <w:color w:val="auto"/>
          <w:sz w:val="32"/>
          <w:szCs w:val="32"/>
          <w:highlight w:val="none"/>
        </w:rPr>
        <w:t>万元。全年按规定更新购置公务用车</w:t>
      </w:r>
      <w:r>
        <w:rPr>
          <w:rFonts w:hint="eastAsia" w:ascii="Times New Roman" w:hAnsi="Times New Roman" w:eastAsia="方正仿宋_GBK" w:cs="Times New Roman"/>
          <w:b/>
          <w:bCs/>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辆。截至</w:t>
      </w:r>
      <w:r>
        <w:rPr>
          <w:rFonts w:hint="default" w:ascii="Times New Roman" w:hAnsi="Times New Roman" w:eastAsia="方正仿宋_GBK" w:cs="Times New Roman"/>
          <w:color w:val="auto"/>
          <w:sz w:val="32"/>
          <w:szCs w:val="32"/>
          <w:highlight w:val="none"/>
          <w:lang w:eastAsia="zh-CN"/>
        </w:rPr>
        <w:t>202</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年12月</w:t>
      </w:r>
      <w:r>
        <w:rPr>
          <w:rFonts w:hint="default" w:ascii="Times New Roman" w:hAnsi="Times New Roman" w:eastAsia="方正仿宋_GBK" w:cs="Times New Roman"/>
          <w:color w:val="auto"/>
          <w:sz w:val="32"/>
          <w:szCs w:val="32"/>
          <w:highlight w:val="none"/>
          <w:lang w:val="en-US" w:eastAsia="zh-CN"/>
        </w:rPr>
        <w:t>31日</w:t>
      </w:r>
      <w:r>
        <w:rPr>
          <w:rFonts w:hint="default" w:ascii="Times New Roman" w:hAnsi="Times New Roman" w:eastAsia="方正仿宋_GBK" w:cs="Times New Roman"/>
          <w:color w:val="auto"/>
          <w:sz w:val="32"/>
          <w:szCs w:val="32"/>
          <w:highlight w:val="none"/>
        </w:rPr>
        <w:t>，单位共有公务用车</w:t>
      </w:r>
      <w:r>
        <w:rPr>
          <w:rFonts w:hint="eastAsia" w:ascii="Times New Roman" w:hAnsi="Times New Roman" w:eastAsia="方正仿宋_GBK" w:cs="Times New Roman"/>
          <w:b/>
          <w:bCs/>
          <w:color w:val="auto"/>
          <w:sz w:val="32"/>
          <w:szCs w:val="32"/>
          <w:highlight w:val="none"/>
          <w:lang w:val="en-US" w:eastAsia="zh-CN"/>
        </w:rPr>
        <w:t>16</w:t>
      </w:r>
      <w:r>
        <w:rPr>
          <w:rFonts w:hint="default" w:ascii="Times New Roman" w:hAnsi="Times New Roman" w:eastAsia="方正仿宋_GBK" w:cs="Times New Roman"/>
          <w:color w:val="auto"/>
          <w:sz w:val="32"/>
          <w:szCs w:val="32"/>
          <w:highlight w:val="none"/>
        </w:rPr>
        <w:t>辆，其中：</w:t>
      </w:r>
      <w:r>
        <w:rPr>
          <w:rFonts w:hint="default" w:ascii="Times New Roman" w:hAnsi="Times New Roman" w:eastAsia="方正仿宋_GBK" w:cs="Times New Roman"/>
          <w:color w:val="auto"/>
          <w:sz w:val="32"/>
          <w:szCs w:val="32"/>
          <w:highlight w:val="none"/>
          <w:lang w:val="en-US" w:eastAsia="zh-CN"/>
        </w:rPr>
        <w:t>越野</w:t>
      </w:r>
      <w:r>
        <w:rPr>
          <w:rFonts w:hint="default" w:ascii="Times New Roman" w:hAnsi="Times New Roman" w:eastAsia="方正仿宋_GBK" w:cs="Times New Roman"/>
          <w:color w:val="auto"/>
          <w:sz w:val="32"/>
          <w:szCs w:val="32"/>
          <w:highlight w:val="none"/>
        </w:rPr>
        <w:t>车</w:t>
      </w:r>
      <w:r>
        <w:rPr>
          <w:rFonts w:hint="eastAsia" w:ascii="Times New Roman" w:hAnsi="Times New Roman" w:eastAsia="方正仿宋_GBK" w:cs="Times New Roman"/>
          <w:b/>
          <w:bCs/>
          <w:color w:val="auto"/>
          <w:sz w:val="32"/>
          <w:szCs w:val="32"/>
          <w:highlight w:val="none"/>
          <w:lang w:val="en-US" w:eastAsia="zh-CN"/>
        </w:rPr>
        <w:t>16</w:t>
      </w:r>
      <w:r>
        <w:rPr>
          <w:rFonts w:hint="default" w:ascii="Times New Roman" w:hAnsi="Times New Roman" w:eastAsia="方正仿宋_GBK" w:cs="Times New Roman"/>
          <w:color w:val="auto"/>
          <w:sz w:val="32"/>
          <w:szCs w:val="32"/>
          <w:highlight w:val="none"/>
        </w:rPr>
        <w:t>辆。</w:t>
      </w:r>
    </w:p>
    <w:p w14:paraId="77029066">
      <w:pPr>
        <w:spacing w:line="600" w:lineRule="exact"/>
        <w:ind w:firstLine="640"/>
        <w:rPr>
          <w:rFonts w:ascii="仿宋_GB2312" w:eastAsia="仿宋_GB2312"/>
          <w:color w:val="auto"/>
          <w:sz w:val="32"/>
          <w:szCs w:val="32"/>
          <w:highlight w:val="none"/>
        </w:rPr>
      </w:pPr>
      <w:r>
        <w:rPr>
          <w:rFonts w:hint="default" w:ascii="Times New Roman" w:hAnsi="Times New Roman" w:eastAsia="方正仿宋_GBK" w:cs="Times New Roman"/>
          <w:b w:val="0"/>
          <w:bCs/>
          <w:color w:val="auto"/>
          <w:sz w:val="32"/>
          <w:szCs w:val="32"/>
          <w:highlight w:val="none"/>
        </w:rPr>
        <w:t>公务用车运行维护费支出</w:t>
      </w:r>
      <w:r>
        <w:rPr>
          <w:rFonts w:hint="eastAsia" w:ascii="Times New Roman" w:hAnsi="Times New Roman" w:eastAsia="方正仿宋_GBK" w:cs="Times New Roman"/>
          <w:b w:val="0"/>
          <w:bCs/>
          <w:color w:val="auto"/>
          <w:sz w:val="32"/>
          <w:szCs w:val="32"/>
          <w:highlight w:val="none"/>
          <w:lang w:val="en-US" w:eastAsia="zh-CN"/>
        </w:rPr>
        <w:t>496.78</w:t>
      </w:r>
      <w:r>
        <w:rPr>
          <w:rFonts w:hint="default" w:ascii="Times New Roman" w:hAnsi="Times New Roman" w:eastAsia="方正仿宋_GBK" w:cs="Times New Roman"/>
          <w:b w:val="0"/>
          <w:bCs/>
          <w:color w:val="auto"/>
          <w:sz w:val="32"/>
          <w:szCs w:val="32"/>
          <w:highlight w:val="none"/>
        </w:rPr>
        <w:t>万元</w:t>
      </w:r>
      <w:r>
        <w:rPr>
          <w:rFonts w:hint="eastAsia" w:ascii="方正仿宋_GBK" w:hAnsi="方正仿宋_GBK" w:eastAsia="方正仿宋_GBK" w:cs="方正仿宋_GBK"/>
          <w:color w:val="auto"/>
          <w:sz w:val="32"/>
          <w:szCs w:val="32"/>
          <w:highlight w:val="none"/>
          <w:shd w:val="clear"/>
        </w:rPr>
        <w:t>。主要用于</w:t>
      </w:r>
      <w:r>
        <w:rPr>
          <w:rFonts w:hint="eastAsia" w:ascii="方正仿宋_GBK" w:hAnsi="方正仿宋_GBK" w:eastAsia="方正仿宋_GBK" w:cs="方正仿宋_GBK"/>
          <w:color w:val="000000"/>
          <w:sz w:val="32"/>
          <w:szCs w:val="32"/>
        </w:rPr>
        <w:t>常委会开展立法工作、监督工作、代表工作、</w:t>
      </w:r>
      <w:r>
        <w:rPr>
          <w:rFonts w:hint="default" w:ascii="Times New Roman" w:hAnsi="Times New Roman" w:eastAsia="方正仿宋_GBK" w:cs="Times New Roman"/>
          <w:spacing w:val="11"/>
          <w:sz w:val="32"/>
          <w:lang w:val="en-US" w:eastAsia="zh-CN"/>
        </w:rPr>
        <w:t>组织开展州委安排的联心同行和托底帮扶等相关工作</w:t>
      </w:r>
      <w:r>
        <w:rPr>
          <w:rFonts w:hint="eastAsia" w:ascii="仿宋_GB2312" w:eastAsia="仿宋_GB2312"/>
          <w:color w:val="000000"/>
          <w:sz w:val="32"/>
          <w:szCs w:val="32"/>
        </w:rPr>
        <w:t>以及加强机关自身建设</w:t>
      </w:r>
      <w:r>
        <w:rPr>
          <w:rFonts w:hint="eastAsia" w:ascii="仿宋_GB2312" w:eastAsia="仿宋_GB2312"/>
          <w:color w:val="auto"/>
          <w:sz w:val="32"/>
          <w:szCs w:val="32"/>
          <w:highlight w:val="none"/>
          <w:shd w:val="clear"/>
        </w:rPr>
        <w:t>等所需的公务用车燃料费、维修费、过路过</w:t>
      </w:r>
      <w:r>
        <w:rPr>
          <w:rFonts w:hint="eastAsia" w:ascii="仿宋_GB2312" w:eastAsia="仿宋_GB2312"/>
          <w:color w:val="auto"/>
          <w:sz w:val="32"/>
          <w:szCs w:val="32"/>
          <w:highlight w:val="none"/>
        </w:rPr>
        <w:t>桥费、保险费等支出。</w:t>
      </w:r>
    </w:p>
    <w:p w14:paraId="025F400C">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Times New Roman" w:hAnsi="Times New Roman" w:eastAsia="仿宋" w:cs="Times New Roman"/>
          <w:b w:val="0"/>
          <w:bCs w:val="0"/>
          <w:color w:val="auto"/>
          <w:sz w:val="32"/>
          <w:szCs w:val="32"/>
          <w:highlight w:val="none"/>
          <w:lang w:val="en-US" w:eastAsia="zh-CN"/>
        </w:rPr>
        <w:t>2.15</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21.94</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default" w:ascii="Times New Roman" w:hAnsi="Times New Roman" w:eastAsia="仿宋_GB2312" w:cs="Times New Roman"/>
          <w:color w:val="auto"/>
          <w:sz w:val="32"/>
          <w:szCs w:val="32"/>
          <w:highlight w:val="none"/>
          <w:lang w:val="en-US" w:eastAsia="zh-CN"/>
        </w:rPr>
        <w:t>0.77</w:t>
      </w:r>
      <w:r>
        <w:rPr>
          <w:rFonts w:hint="eastAsia" w:ascii="仿宋_GB2312" w:eastAsia="仿宋_GB2312"/>
          <w:color w:val="auto"/>
          <w:sz w:val="32"/>
          <w:szCs w:val="32"/>
          <w:highlight w:val="none"/>
        </w:rPr>
        <w:t>万元，增长</w:t>
      </w:r>
      <w:r>
        <w:rPr>
          <w:rFonts w:hint="eastAsia" w:ascii="仿宋_GB2312" w:eastAsia="仿宋_GB2312"/>
          <w:b/>
          <w:bCs/>
          <w:color w:val="auto"/>
          <w:sz w:val="32"/>
          <w:szCs w:val="32"/>
          <w:highlight w:val="none"/>
          <w:lang w:val="en-US" w:eastAsia="zh-CN"/>
        </w:rPr>
        <w:t>55.92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default" w:ascii="Times New Roman" w:hAnsi="Times New Roman" w:eastAsia="仿宋_GB2312" w:cs="Times New Roman"/>
          <w:spacing w:val="11"/>
          <w:sz w:val="32"/>
          <w:lang w:val="en-US" w:eastAsia="zh-CN"/>
        </w:rPr>
        <w:t>省人大安排</w:t>
      </w:r>
      <w:r>
        <w:rPr>
          <w:rFonts w:hint="default" w:ascii="Times New Roman" w:hAnsi="Times New Roman" w:eastAsia="方正仿宋_GBK" w:cs="Times New Roman"/>
          <w:kern w:val="2"/>
          <w:sz w:val="32"/>
          <w:szCs w:val="32"/>
          <w:vertAlign w:val="baseline"/>
        </w:rPr>
        <w:t>全国</w:t>
      </w:r>
      <w:r>
        <w:rPr>
          <w:rFonts w:hint="eastAsia" w:ascii="Times New Roman" w:hAnsi="Times New Roman" w:eastAsia="方正仿宋_GBK" w:cs="Times New Roman"/>
          <w:kern w:val="2"/>
          <w:sz w:val="32"/>
          <w:szCs w:val="32"/>
          <w:vertAlign w:val="baseline"/>
          <w:lang w:val="en-US" w:eastAsia="zh-CN"/>
        </w:rPr>
        <w:t>和</w:t>
      </w:r>
      <w:r>
        <w:rPr>
          <w:rFonts w:hint="default" w:ascii="Times New Roman" w:hAnsi="Times New Roman" w:eastAsia="方正仿宋_GBK" w:cs="Times New Roman"/>
          <w:kern w:val="2"/>
          <w:sz w:val="32"/>
          <w:szCs w:val="32"/>
          <w:vertAlign w:val="baseline"/>
        </w:rPr>
        <w:t>省人大代表</w:t>
      </w:r>
      <w:r>
        <w:rPr>
          <w:rFonts w:hint="eastAsia" w:ascii="Times New Roman" w:hAnsi="Times New Roman" w:eastAsia="方正仿宋_GBK" w:cs="Times New Roman"/>
          <w:kern w:val="2"/>
          <w:sz w:val="32"/>
          <w:szCs w:val="32"/>
          <w:vertAlign w:val="baseline"/>
          <w:lang w:val="en-US" w:eastAsia="zh-CN"/>
        </w:rPr>
        <w:t>来州开展</w:t>
      </w:r>
      <w:r>
        <w:rPr>
          <w:rFonts w:hint="default" w:ascii="Times New Roman" w:hAnsi="Times New Roman" w:eastAsia="仿宋_GB2312" w:cs="Times New Roman"/>
          <w:spacing w:val="11"/>
          <w:sz w:val="32"/>
          <w:lang w:val="en-US" w:eastAsia="zh-CN"/>
        </w:rPr>
        <w:t>执法检查</w:t>
      </w:r>
      <w:r>
        <w:rPr>
          <w:rFonts w:hint="eastAsia" w:ascii="Times New Roman" w:hAnsi="Times New Roman" w:eastAsia="仿宋_GB2312" w:cs="Times New Roman"/>
          <w:spacing w:val="11"/>
          <w:sz w:val="32"/>
          <w:lang w:val="en-US" w:eastAsia="zh-CN"/>
        </w:rPr>
        <w:t>、专题调研、代表视察等工作增加</w:t>
      </w:r>
      <w:r>
        <w:rPr>
          <w:rFonts w:hint="eastAsia" w:ascii="仿宋_GB2312" w:eastAsia="仿宋_GB2312"/>
          <w:color w:val="auto"/>
          <w:sz w:val="32"/>
          <w:szCs w:val="32"/>
          <w:highlight w:val="none"/>
        </w:rPr>
        <w:t>。其中：</w:t>
      </w:r>
    </w:p>
    <w:p w14:paraId="459A108E">
      <w:pPr>
        <w:spacing w:line="600" w:lineRule="exact"/>
        <w:ind w:firstLine="640"/>
        <w:rPr>
          <w:rFonts w:hint="default" w:ascii="Times New Roman" w:hAnsi="Times New Roman" w:eastAsia="仿宋_GB2312" w:cs="Times New Roman"/>
          <w:color w:val="auto"/>
          <w:sz w:val="32"/>
          <w:szCs w:val="32"/>
          <w:highlight w:val="none"/>
          <w:lang w:val="en-US" w:eastAsia="zh-CN"/>
        </w:rPr>
      </w:pPr>
      <w:r>
        <w:rPr>
          <w:rFonts w:hint="eastAsia" w:ascii="仿宋" w:hAnsi="仿宋" w:eastAsia="仿宋"/>
          <w:b/>
          <w:color w:val="auto"/>
          <w:sz w:val="32"/>
          <w:szCs w:val="32"/>
          <w:highlight w:val="none"/>
        </w:rPr>
        <w:t>国内公务接待支出</w:t>
      </w:r>
      <w:r>
        <w:rPr>
          <w:rFonts w:hint="eastAsia" w:ascii="仿宋" w:hAnsi="仿宋" w:eastAsia="仿宋"/>
          <w:b/>
          <w:bCs/>
          <w:color w:val="auto"/>
          <w:sz w:val="32"/>
          <w:szCs w:val="32"/>
          <w:highlight w:val="none"/>
          <w:lang w:val="en-US" w:eastAsia="zh-CN"/>
        </w:rPr>
        <w:t>2.15</w:t>
      </w:r>
      <w:r>
        <w:rPr>
          <w:rFonts w:hint="eastAsia" w:ascii="仿宋_GB2312" w:eastAsia="仿宋_GB2312"/>
          <w:color w:val="auto"/>
          <w:sz w:val="32"/>
          <w:szCs w:val="32"/>
          <w:highlight w:val="none"/>
        </w:rPr>
        <w:t>万元，主要用于</w:t>
      </w:r>
      <w:r>
        <w:rPr>
          <w:rFonts w:eastAsia="仿宋_GB2312"/>
          <w:color w:val="000000"/>
          <w:sz w:val="32"/>
          <w:szCs w:val="32"/>
        </w:rPr>
        <w:t>接待四川省人大来州检查指导工作；各市州人大来州进行工作交流开展调研</w:t>
      </w:r>
      <w:r>
        <w:rPr>
          <w:rFonts w:hint="eastAsia" w:eastAsia="仿宋_GB2312"/>
          <w:color w:val="000000"/>
          <w:sz w:val="32"/>
          <w:szCs w:val="32"/>
          <w:lang w:val="en-US" w:eastAsia="zh-CN"/>
        </w:rPr>
        <w:t>等</w:t>
      </w:r>
      <w:r>
        <w:rPr>
          <w:rFonts w:hint="eastAsia" w:ascii="仿宋_GB2312" w:eastAsia="仿宋_GB2312"/>
          <w:color w:val="auto"/>
          <w:sz w:val="32"/>
          <w:szCs w:val="32"/>
          <w:highlight w:val="none"/>
        </w:rPr>
        <w:t>的交通费、住宿费、用餐费等。</w:t>
      </w:r>
      <w:r>
        <w:rPr>
          <w:rFonts w:hint="default" w:ascii="Times New Roman" w:hAnsi="Times New Roman" w:eastAsia="仿宋_GB2312" w:cs="Times New Roman"/>
          <w:color w:val="auto"/>
          <w:sz w:val="32"/>
          <w:szCs w:val="32"/>
          <w:highlight w:val="none"/>
        </w:rPr>
        <w:t>国内公务接待</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批次，</w:t>
      </w:r>
      <w:r>
        <w:rPr>
          <w:rFonts w:hint="eastAsia" w:ascii="Times New Roman" w:hAnsi="Times New Roman" w:eastAsia="仿宋_GB2312" w:cs="Times New Roman"/>
          <w:color w:val="auto"/>
          <w:sz w:val="32"/>
          <w:szCs w:val="32"/>
          <w:highlight w:val="none"/>
          <w:lang w:val="en-US" w:eastAsia="zh-CN"/>
        </w:rPr>
        <w:t>108</w:t>
      </w:r>
      <w:r>
        <w:rPr>
          <w:rFonts w:hint="default" w:ascii="Times New Roman" w:hAnsi="Times New Roman" w:eastAsia="仿宋_GB2312" w:cs="Times New Roman"/>
          <w:color w:val="auto"/>
          <w:sz w:val="32"/>
          <w:szCs w:val="32"/>
          <w:highlight w:val="none"/>
        </w:rPr>
        <w:t>人次（不包括陪同人员），共计支出</w:t>
      </w:r>
      <w:r>
        <w:rPr>
          <w:rFonts w:hint="default" w:ascii="Times New Roman" w:hAnsi="Times New Roman" w:eastAsia="仿宋" w:cs="Times New Roman"/>
          <w:b w:val="0"/>
          <w:bCs w:val="0"/>
          <w:color w:val="auto"/>
          <w:sz w:val="32"/>
          <w:szCs w:val="32"/>
          <w:highlight w:val="none"/>
          <w:lang w:val="en-US" w:eastAsia="zh-CN"/>
        </w:rPr>
        <w:t>2.15</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具体内容包括：一是温州市人大来州考察民族、社会、代表等工作，接待人数28人，接待支出0.50万元；二是昌都市人大来州学习考察“人大代表之家”，接待人数30人，接待支出0.60万元；三是省人大大来州调研大中型水利水电工程移民情况等，接待人数11人，接待支出0.21万元；四是南充市人大来州考察宗教中国化方向推进工作情况，接待人数12人，接待支出0.24万元；五是福建省人大来州</w:t>
      </w:r>
      <w:r>
        <w:rPr>
          <w:rFonts w:hint="eastAsia" w:ascii="Times New Roman" w:hAnsi="Times New Roman" w:eastAsia="仿宋_GB2312" w:cs="Times New Roman"/>
          <w:color w:val="auto"/>
          <w:sz w:val="32"/>
          <w:szCs w:val="32"/>
          <w:highlight w:val="none"/>
          <w:lang w:val="en-US" w:eastAsia="zh-CN"/>
        </w:rPr>
        <w:t>调研</w:t>
      </w:r>
      <w:r>
        <w:rPr>
          <w:rFonts w:hint="default" w:ascii="Times New Roman" w:hAnsi="Times New Roman" w:eastAsia="仿宋_GB2312" w:cs="Times New Roman"/>
          <w:color w:val="auto"/>
          <w:sz w:val="32"/>
          <w:szCs w:val="32"/>
          <w:highlight w:val="none"/>
          <w:lang w:val="en-US" w:eastAsia="zh-CN"/>
        </w:rPr>
        <w:t>流域水环境保护和民族事务立法监督等工作，接待人数6人，接待支出0.15万元；六是黑水县人大来州人大请示汇报工作2次4天，接待人数4人，接待支出0.17万元；七是浙江大学继续教育学院来州人大调研干部继续教育培训合作事宜等，接待人数3人，接待支出0.07万元；八是海南州人大来州人大学习人大历史展陈馆建设的经验和做法，接待人数4人，接待支出0.08万元；九是青海果洛州人大来州调研城镇供水基础设施建设等工作，接待人数10人，接待支出0.13万元，</w:t>
      </w:r>
    </w:p>
    <w:p w14:paraId="053EF459">
      <w:pPr>
        <w:spacing w:line="600" w:lineRule="exact"/>
        <w:ind w:firstLine="643" w:firstLineChars="200"/>
        <w:rPr>
          <w:rFonts w:hint="default" w:ascii="黑体" w:eastAsia="黑体"/>
          <w:color w:val="auto"/>
          <w:sz w:val="32"/>
          <w:szCs w:val="32"/>
          <w:highlight w:val="none"/>
          <w:lang w:val="en-US" w:eastAsia="zh-CN"/>
        </w:rPr>
      </w:pPr>
      <w:r>
        <w:rPr>
          <w:rFonts w:hint="eastAsia" w:ascii="仿宋" w:hAnsi="仿宋" w:eastAsia="仿宋"/>
          <w:b/>
          <w:color w:val="auto"/>
          <w:sz w:val="32"/>
          <w:szCs w:val="32"/>
          <w:highlight w:val="none"/>
        </w:rPr>
        <w:t>外事接待支出</w:t>
      </w:r>
      <w:r>
        <w:rPr>
          <w:rFonts w:hint="eastAsia" w:ascii="仿宋" w:hAnsi="仿宋" w:eastAsia="仿宋"/>
          <w:b/>
          <w:bCs/>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万元。</w:t>
      </w:r>
    </w:p>
    <w:p w14:paraId="73387EAE">
      <w:pPr>
        <w:spacing w:line="600" w:lineRule="exact"/>
        <w:ind w:firstLine="640"/>
        <w:outlineLvl w:val="1"/>
        <w:rPr>
          <w:rStyle w:val="21"/>
          <w:rFonts w:ascii="黑体" w:hAnsi="黑体" w:eastAsia="黑体"/>
          <w:color w:val="auto"/>
          <w:highlight w:val="none"/>
        </w:rPr>
      </w:pPr>
      <w:bookmarkStart w:id="21" w:name="_Toc4306"/>
      <w:r>
        <w:rPr>
          <w:rFonts w:hint="eastAsia" w:ascii="黑体" w:eastAsia="黑体"/>
          <w:color w:val="auto"/>
          <w:sz w:val="32"/>
          <w:szCs w:val="32"/>
          <w:highlight w:val="none"/>
        </w:rPr>
        <w:t>八、</w:t>
      </w:r>
      <w:r>
        <w:rPr>
          <w:rStyle w:val="21"/>
          <w:rFonts w:hint="eastAsia" w:ascii="黑体" w:hAnsi="黑体" w:eastAsia="黑体"/>
          <w:b w:val="0"/>
          <w:color w:val="auto"/>
          <w:highlight w:val="none"/>
        </w:rPr>
        <w:t>政府性基金预算支出决算情况说明</w:t>
      </w:r>
      <w:bookmarkEnd w:id="21"/>
    </w:p>
    <w:p w14:paraId="5433CE2A">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阿坝州人大常委会办公室</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政府性基金预算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b/>
          <w:bCs/>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000000"/>
          <w:sz w:val="32"/>
          <w:szCs w:val="32"/>
        </w:rPr>
        <w:t>比20</w:t>
      </w:r>
      <w:r>
        <w:rPr>
          <w:rFonts w:hint="default"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年增加/减少</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万元，增长/下降</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%。主要原因是</w:t>
      </w:r>
      <w:r>
        <w:rPr>
          <w:rFonts w:hint="eastAsia" w:ascii="Times New Roman" w:hAnsi="Times New Roman" w:eastAsia="方正仿宋_GBK"/>
          <w:sz w:val="32"/>
          <w:szCs w:val="32"/>
        </w:rPr>
        <w:t>2</w:t>
      </w:r>
      <w:r>
        <w:rPr>
          <w:rFonts w:ascii="Times New Roman" w:hAnsi="Times New Roman" w:eastAsia="方正仿宋_GBK"/>
          <w:sz w:val="32"/>
          <w:szCs w:val="32"/>
        </w:rPr>
        <w:t>02</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年未安排政府性基金</w:t>
      </w:r>
      <w:r>
        <w:rPr>
          <w:rFonts w:hint="eastAsia" w:ascii="Times New Roman" w:hAnsi="Times New Roman" w:eastAsia="方正仿宋_GBK"/>
          <w:sz w:val="32"/>
          <w:szCs w:val="32"/>
          <w:lang w:val="en-US" w:eastAsia="zh-CN"/>
        </w:rPr>
        <w:t>支出</w:t>
      </w:r>
      <w:r>
        <w:rPr>
          <w:rFonts w:hint="eastAsia" w:ascii="Times New Roman" w:hAnsi="Times New Roman" w:eastAsia="方正仿宋_GBK"/>
          <w:sz w:val="32"/>
          <w:szCs w:val="32"/>
        </w:rPr>
        <w:t>预算</w:t>
      </w:r>
      <w:r>
        <w:rPr>
          <w:rFonts w:hint="eastAsia" w:ascii="Times New Roman" w:hAnsi="Times New Roman" w:eastAsia="仿宋_GB2312" w:cs="Times New Roman"/>
          <w:color w:val="000000"/>
          <w:sz w:val="32"/>
          <w:szCs w:val="32"/>
          <w:lang w:val="en-US" w:eastAsia="zh-CN"/>
        </w:rPr>
        <w:t>。</w:t>
      </w:r>
    </w:p>
    <w:p w14:paraId="40115C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1"/>
          <w:rFonts w:hint="default" w:ascii="Times New Roman" w:hAnsi="Times New Roman" w:eastAsia="黑体" w:cs="Times New Roman"/>
          <w:b w:val="0"/>
          <w:color w:val="auto"/>
          <w:highlight w:val="none"/>
        </w:rPr>
      </w:pPr>
      <w:bookmarkStart w:id="22" w:name="_Toc18435"/>
      <w:r>
        <w:rPr>
          <w:rStyle w:val="21"/>
          <w:rFonts w:hint="default" w:ascii="Times New Roman" w:hAnsi="Times New Roman" w:eastAsia="黑体" w:cs="Times New Roman"/>
          <w:b w:val="0"/>
          <w:color w:val="auto"/>
          <w:highlight w:val="none"/>
          <w:lang w:eastAsia="zh-CN"/>
        </w:rPr>
        <w:t>九、</w:t>
      </w:r>
      <w:r>
        <w:rPr>
          <w:rStyle w:val="21"/>
          <w:rFonts w:hint="default" w:ascii="Times New Roman" w:hAnsi="Times New Roman" w:eastAsia="黑体" w:cs="Times New Roman"/>
          <w:b w:val="0"/>
          <w:color w:val="auto"/>
          <w:highlight w:val="none"/>
        </w:rPr>
        <w:t>国有资本经营预算支出决算情况说明</w:t>
      </w:r>
      <w:bookmarkEnd w:id="22"/>
    </w:p>
    <w:p w14:paraId="5E8851E9">
      <w:pPr>
        <w:spacing w:line="600" w:lineRule="exact"/>
        <w:ind w:firstLine="640"/>
        <w:rPr>
          <w:rFonts w:hint="default" w:ascii="Times New Roman" w:hAnsi="Times New Roman" w:eastAsia="方正小标宋简体" w:cs="Times New Roman"/>
          <w:color w:val="auto"/>
          <w:sz w:val="44"/>
          <w:szCs w:val="44"/>
          <w:highlight w:val="none"/>
        </w:rPr>
      </w:pPr>
      <w:r>
        <w:rPr>
          <w:rFonts w:hint="default" w:ascii="Times New Roman" w:hAnsi="Times New Roman" w:eastAsia="仿宋_GB2312" w:cs="Times New Roman"/>
          <w:color w:val="auto"/>
          <w:sz w:val="32"/>
          <w:szCs w:val="32"/>
          <w:highlight w:val="none"/>
          <w:lang w:val="en-US" w:eastAsia="zh-CN"/>
        </w:rPr>
        <w:t>阿坝州人大常委会办公室</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b/>
          <w:bCs/>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000000"/>
          <w:sz w:val="32"/>
          <w:szCs w:val="32"/>
        </w:rPr>
        <w:t>比20</w:t>
      </w:r>
      <w:r>
        <w:rPr>
          <w:rFonts w:hint="default"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年增加/减少</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万元，增长/下降</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%。主要原因是</w:t>
      </w:r>
      <w:r>
        <w:rPr>
          <w:rFonts w:hint="eastAsia" w:ascii="Times New Roman" w:hAnsi="Times New Roman" w:eastAsia="方正仿宋_GBK"/>
          <w:sz w:val="32"/>
          <w:szCs w:val="32"/>
        </w:rPr>
        <w:t>2</w:t>
      </w:r>
      <w:r>
        <w:rPr>
          <w:rFonts w:ascii="Times New Roman" w:hAnsi="Times New Roman" w:eastAsia="方正仿宋_GBK"/>
          <w:sz w:val="32"/>
          <w:szCs w:val="32"/>
        </w:rPr>
        <w:t>02</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年未安排</w:t>
      </w:r>
      <w:r>
        <w:rPr>
          <w:rStyle w:val="21"/>
          <w:rFonts w:hint="eastAsia" w:ascii="方正仿宋_GBK" w:hAnsi="方正仿宋_GBK" w:eastAsia="方正仿宋_GBK" w:cs="方正仿宋_GBK"/>
          <w:b w:val="0"/>
          <w:bCs/>
          <w:color w:val="auto"/>
          <w:highlight w:val="none"/>
        </w:rPr>
        <w:t>国有资本经营</w:t>
      </w:r>
      <w:r>
        <w:rPr>
          <w:rStyle w:val="21"/>
          <w:rFonts w:hint="eastAsia" w:ascii="方正仿宋_GBK" w:hAnsi="方正仿宋_GBK" w:eastAsia="方正仿宋_GBK" w:cs="方正仿宋_GBK"/>
          <w:b w:val="0"/>
          <w:bCs/>
          <w:color w:val="auto"/>
          <w:highlight w:val="none"/>
          <w:lang w:val="en-US" w:eastAsia="zh-CN"/>
        </w:rPr>
        <w:t>支出</w:t>
      </w:r>
      <w:bookmarkStart w:id="28" w:name="_GoBack"/>
      <w:bookmarkEnd w:id="28"/>
      <w:r>
        <w:rPr>
          <w:rFonts w:hint="eastAsia" w:ascii="Times New Roman" w:hAnsi="Times New Roman" w:eastAsia="方正仿宋_GBK"/>
          <w:sz w:val="32"/>
          <w:szCs w:val="32"/>
        </w:rPr>
        <w:t>预算</w:t>
      </w:r>
      <w:r>
        <w:rPr>
          <w:rFonts w:hint="eastAsia" w:ascii="Times New Roman" w:hAnsi="Times New Roman" w:eastAsia="仿宋_GB2312" w:cs="Times New Roman"/>
          <w:color w:val="000000"/>
          <w:sz w:val="32"/>
          <w:szCs w:val="32"/>
          <w:lang w:val="en-US" w:eastAsia="zh-CN"/>
        </w:rPr>
        <w:t>。</w:t>
      </w:r>
    </w:p>
    <w:p w14:paraId="27C3B5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1"/>
          <w:rFonts w:hint="eastAsia" w:ascii="黑体" w:hAnsi="黑体" w:eastAsia="黑体"/>
          <w:b w:val="0"/>
          <w:color w:val="auto"/>
          <w:highlight w:val="none"/>
        </w:rPr>
      </w:pPr>
      <w:bookmarkStart w:id="23" w:name="_Toc10134"/>
      <w:r>
        <w:rPr>
          <w:rStyle w:val="21"/>
          <w:rFonts w:hint="eastAsia" w:ascii="黑体" w:hAnsi="黑体" w:eastAsia="黑体"/>
          <w:b w:val="0"/>
          <w:color w:val="auto"/>
          <w:highlight w:val="none"/>
          <w:lang w:eastAsia="zh-CN"/>
        </w:rPr>
        <w:t>十、</w:t>
      </w:r>
      <w:r>
        <w:rPr>
          <w:rStyle w:val="21"/>
          <w:rFonts w:hint="eastAsia" w:ascii="黑体" w:hAnsi="黑体" w:eastAsia="黑体"/>
          <w:b w:val="0"/>
          <w:color w:val="auto"/>
          <w:highlight w:val="none"/>
        </w:rPr>
        <w:t>其他重要事项的情况说明</w:t>
      </w:r>
      <w:bookmarkEnd w:id="23"/>
    </w:p>
    <w:p w14:paraId="16958B3B">
      <w:pPr>
        <w:spacing w:line="600" w:lineRule="exact"/>
        <w:ind w:firstLine="643" w:firstLineChars="200"/>
        <w:outlineLvl w:val="2"/>
        <w:rPr>
          <w:rFonts w:ascii="仿宋" w:hAnsi="仿宋" w:eastAsia="仿宋"/>
          <w:color w:val="auto"/>
          <w:sz w:val="32"/>
          <w:szCs w:val="32"/>
          <w:highlight w:val="none"/>
        </w:rPr>
      </w:pPr>
      <w:r>
        <w:rPr>
          <w:rFonts w:hint="eastAsia" w:ascii="仿宋" w:hAnsi="仿宋" w:eastAsia="仿宋"/>
          <w:b/>
          <w:color w:val="auto"/>
          <w:sz w:val="32"/>
          <w:szCs w:val="32"/>
          <w:highlight w:val="none"/>
        </w:rPr>
        <w:t>（一）机关运行经费支出情况</w:t>
      </w:r>
    </w:p>
    <w:p w14:paraId="2E0CD1DE">
      <w:pPr>
        <w:spacing w:line="600" w:lineRule="exact"/>
        <w:ind w:firstLine="640" w:firstLineChars="200"/>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eastAsia="zh-CN"/>
        </w:rPr>
        <w:t>202</w:t>
      </w:r>
      <w:r>
        <w:rPr>
          <w:rFonts w:hint="default" w:ascii="Times New Roman" w:hAnsi="Times New Roman" w:eastAsia="方正仿宋_GBK" w:cs="Times New Roman"/>
          <w:b w:val="0"/>
          <w:bCs w:val="0"/>
          <w:color w:val="auto"/>
          <w:sz w:val="32"/>
          <w:szCs w:val="32"/>
          <w:highlight w:val="none"/>
          <w:lang w:val="en-US" w:eastAsia="zh-CN"/>
        </w:rPr>
        <w:t>4</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eastAsia="zh-CN"/>
        </w:rPr>
        <w:t>度</w:t>
      </w:r>
      <w:r>
        <w:rPr>
          <w:rFonts w:hint="default" w:ascii="Times New Roman" w:hAnsi="Times New Roman" w:eastAsia="方正仿宋_GBK" w:cs="Times New Roman"/>
          <w:b w:val="0"/>
          <w:bCs w:val="0"/>
          <w:color w:val="auto"/>
          <w:sz w:val="32"/>
          <w:szCs w:val="32"/>
          <w:highlight w:val="none"/>
        </w:rPr>
        <w:t>，</w:t>
      </w:r>
      <w:r>
        <w:rPr>
          <w:rFonts w:hint="default" w:ascii="Times New Roman" w:hAnsi="Times New Roman" w:eastAsia="方正仿宋_GBK" w:cs="Times New Roman"/>
          <w:b w:val="0"/>
          <w:bCs w:val="0"/>
          <w:color w:val="auto"/>
          <w:sz w:val="32"/>
          <w:szCs w:val="32"/>
          <w:highlight w:val="none"/>
          <w:lang w:val="en-US" w:eastAsia="zh-CN"/>
        </w:rPr>
        <w:t>阿坝州人大常委会办公室</w:t>
      </w:r>
      <w:r>
        <w:rPr>
          <w:rFonts w:hint="default" w:ascii="Times New Roman" w:hAnsi="Times New Roman" w:eastAsia="方正仿宋_GBK" w:cs="Times New Roman"/>
          <w:b w:val="0"/>
          <w:bCs w:val="0"/>
          <w:color w:val="auto"/>
          <w:sz w:val="32"/>
          <w:szCs w:val="32"/>
          <w:highlight w:val="none"/>
        </w:rPr>
        <w:t>机关运行经费支出</w:t>
      </w:r>
      <w:r>
        <w:rPr>
          <w:rFonts w:hint="default" w:ascii="Times New Roman" w:hAnsi="Times New Roman" w:eastAsia="方正仿宋_GBK" w:cs="Times New Roman"/>
          <w:b w:val="0"/>
          <w:bCs w:val="0"/>
          <w:color w:val="auto"/>
          <w:sz w:val="32"/>
          <w:szCs w:val="32"/>
          <w:highlight w:val="none"/>
          <w:lang w:val="en-US" w:eastAsia="zh-CN"/>
        </w:rPr>
        <w:t>1,282.89</w:t>
      </w:r>
      <w:r>
        <w:rPr>
          <w:rFonts w:hint="default" w:ascii="Times New Roman" w:hAnsi="Times New Roman" w:eastAsia="方正仿宋_GBK" w:cs="Times New Roman"/>
          <w:b w:val="0"/>
          <w:bCs w:val="0"/>
          <w:color w:val="auto"/>
          <w:sz w:val="32"/>
          <w:szCs w:val="32"/>
          <w:highlight w:val="none"/>
        </w:rPr>
        <w:t>万元，</w:t>
      </w:r>
      <w:r>
        <w:rPr>
          <w:rFonts w:hint="default" w:ascii="Times New Roman" w:hAnsi="Times New Roman" w:eastAsia="方正仿宋_GBK" w:cs="Times New Roman"/>
          <w:b w:val="0"/>
          <w:bCs w:val="0"/>
          <w:color w:val="auto"/>
          <w:sz w:val="32"/>
          <w:szCs w:val="32"/>
          <w:highlight w:val="none"/>
          <w:lang w:val="en-US" w:eastAsia="zh-CN"/>
        </w:rPr>
        <w:t>较2023年增加183.66万元，增涨16.71%。主要原因</w:t>
      </w:r>
      <w:r>
        <w:rPr>
          <w:rFonts w:hint="default" w:ascii="Times New Roman" w:hAnsi="Times New Roman" w:eastAsia="方正仿宋_GBK" w:cs="Times New Roman"/>
          <w:b w:val="0"/>
          <w:bCs w:val="0"/>
          <w:color w:val="000000"/>
          <w:sz w:val="32"/>
          <w:szCs w:val="32"/>
        </w:rPr>
        <w:t>常委会机关</w:t>
      </w:r>
      <w:r>
        <w:rPr>
          <w:rFonts w:hint="default" w:ascii="Times New Roman" w:hAnsi="Times New Roman" w:eastAsia="方正仿宋_GBK" w:cs="Times New Roman"/>
          <w:b w:val="0"/>
          <w:bCs w:val="0"/>
          <w:color w:val="000000"/>
          <w:sz w:val="32"/>
          <w:szCs w:val="32"/>
          <w:lang w:val="en-US" w:eastAsia="zh-CN"/>
        </w:rPr>
        <w:t>新购更新2辆公务用车，</w:t>
      </w:r>
      <w:r>
        <w:rPr>
          <w:rFonts w:hint="default" w:ascii="Times New Roman" w:hAnsi="Times New Roman" w:eastAsia="方正仿宋_GBK" w:cs="Times New Roman"/>
          <w:b w:val="0"/>
          <w:bCs w:val="0"/>
          <w:spacing w:val="11"/>
          <w:sz w:val="32"/>
          <w:szCs w:val="32"/>
          <w:lang w:val="en-US" w:eastAsia="zh-CN"/>
        </w:rPr>
        <w:t>组织开展州委安排的联心同行和托底帮扶等相关工作、省人大安排</w:t>
      </w:r>
      <w:r>
        <w:rPr>
          <w:rFonts w:hint="default" w:ascii="Times New Roman" w:hAnsi="Times New Roman" w:eastAsia="方正仿宋_GBK" w:cs="Times New Roman"/>
          <w:b w:val="0"/>
          <w:bCs w:val="0"/>
          <w:kern w:val="2"/>
          <w:sz w:val="32"/>
          <w:szCs w:val="32"/>
          <w:vertAlign w:val="baseline"/>
        </w:rPr>
        <w:t>全国</w:t>
      </w:r>
      <w:r>
        <w:rPr>
          <w:rFonts w:hint="default" w:ascii="Times New Roman" w:hAnsi="Times New Roman" w:eastAsia="方正仿宋_GBK" w:cs="Times New Roman"/>
          <w:b w:val="0"/>
          <w:bCs w:val="0"/>
          <w:kern w:val="2"/>
          <w:sz w:val="32"/>
          <w:szCs w:val="32"/>
          <w:vertAlign w:val="baseline"/>
          <w:lang w:val="en-US" w:eastAsia="zh-CN"/>
        </w:rPr>
        <w:t>和</w:t>
      </w:r>
      <w:r>
        <w:rPr>
          <w:rFonts w:hint="default" w:ascii="Times New Roman" w:hAnsi="Times New Roman" w:eastAsia="方正仿宋_GBK" w:cs="Times New Roman"/>
          <w:b w:val="0"/>
          <w:bCs w:val="0"/>
          <w:kern w:val="2"/>
          <w:sz w:val="32"/>
          <w:szCs w:val="32"/>
          <w:vertAlign w:val="baseline"/>
        </w:rPr>
        <w:t>省人大代表</w:t>
      </w:r>
      <w:r>
        <w:rPr>
          <w:rFonts w:hint="default" w:ascii="Times New Roman" w:hAnsi="Times New Roman" w:eastAsia="方正仿宋_GBK" w:cs="Times New Roman"/>
          <w:b w:val="0"/>
          <w:bCs w:val="0"/>
          <w:kern w:val="2"/>
          <w:sz w:val="32"/>
          <w:szCs w:val="32"/>
          <w:vertAlign w:val="baseline"/>
          <w:lang w:val="en-US" w:eastAsia="zh-CN"/>
        </w:rPr>
        <w:t>来州开展</w:t>
      </w:r>
      <w:r>
        <w:rPr>
          <w:rFonts w:hint="default" w:ascii="Times New Roman" w:hAnsi="Times New Roman" w:eastAsia="方正仿宋_GBK" w:cs="Times New Roman"/>
          <w:b w:val="0"/>
          <w:bCs w:val="0"/>
          <w:spacing w:val="11"/>
          <w:sz w:val="32"/>
          <w:szCs w:val="32"/>
          <w:lang w:val="en-US" w:eastAsia="zh-CN"/>
        </w:rPr>
        <w:t>执法检查、专题调研、代表视察等工作等工作增加</w:t>
      </w:r>
      <w:r>
        <w:rPr>
          <w:rFonts w:hint="default" w:ascii="Times New Roman" w:hAnsi="Times New Roman" w:eastAsia="方正仿宋_GBK" w:cs="Times New Roman"/>
          <w:b w:val="0"/>
          <w:bCs w:val="0"/>
          <w:color w:val="000000"/>
          <w:sz w:val="32"/>
          <w:szCs w:val="32"/>
        </w:rPr>
        <w:t>。</w:t>
      </w:r>
    </w:p>
    <w:p w14:paraId="5FF346E7">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p>
    <w:p w14:paraId="622CAC07">
      <w:pPr>
        <w:spacing w:line="576" w:lineRule="exact"/>
        <w:ind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000000"/>
          <w:sz w:val="32"/>
          <w:szCs w:val="32"/>
        </w:rPr>
        <w:t>202</w:t>
      </w:r>
      <w:r>
        <w:rPr>
          <w:rFonts w:hint="default" w:ascii="Times New Roman" w:hAnsi="Times New Roman" w:eastAsia="仿宋_GB2312" w:cs="Times New Roman"/>
          <w:b w:val="0"/>
          <w:bCs w:val="0"/>
          <w:color w:val="000000"/>
          <w:sz w:val="32"/>
          <w:szCs w:val="32"/>
          <w:lang w:val="en-US" w:eastAsia="zh-CN"/>
        </w:rPr>
        <w:t>4</w:t>
      </w:r>
      <w:r>
        <w:rPr>
          <w:rFonts w:hint="default" w:ascii="Times New Roman" w:hAnsi="Times New Roman" w:eastAsia="仿宋_GB2312" w:cs="Times New Roman"/>
          <w:b w:val="0"/>
          <w:bCs w:val="0"/>
          <w:color w:val="000000"/>
          <w:sz w:val="32"/>
          <w:szCs w:val="32"/>
        </w:rPr>
        <w:t>年度，阿坝州人大常委会办公室政府采购支出总额99</w:t>
      </w:r>
      <w:r>
        <w:rPr>
          <w:rFonts w:hint="default" w:ascii="Times New Roman" w:hAnsi="Times New Roman" w:eastAsia="仿宋_GB2312" w:cs="Times New Roman"/>
          <w:b w:val="0"/>
          <w:bCs w:val="0"/>
          <w:color w:val="000000"/>
          <w:sz w:val="32"/>
          <w:szCs w:val="32"/>
          <w:lang w:val="en-US" w:eastAsia="zh-CN"/>
        </w:rPr>
        <w:t>.36万</w:t>
      </w:r>
      <w:r>
        <w:rPr>
          <w:rFonts w:hint="default" w:ascii="Times New Roman" w:hAnsi="Times New Roman" w:eastAsia="仿宋_GB2312" w:cs="Times New Roman"/>
          <w:b w:val="0"/>
          <w:bCs w:val="0"/>
          <w:color w:val="000000"/>
          <w:sz w:val="32"/>
          <w:szCs w:val="32"/>
        </w:rPr>
        <w:t>元，其中：政府采购货物支出25</w:t>
      </w:r>
      <w:r>
        <w:rPr>
          <w:rFonts w:hint="default" w:ascii="Times New Roman" w:hAnsi="Times New Roman" w:eastAsia="仿宋_GB2312" w:cs="Times New Roman"/>
          <w:b w:val="0"/>
          <w:bCs w:val="0"/>
          <w:color w:val="000000"/>
          <w:sz w:val="32"/>
          <w:szCs w:val="32"/>
          <w:lang w:val="en-US" w:eastAsia="zh-CN"/>
        </w:rPr>
        <w:t>.72万</w:t>
      </w:r>
      <w:r>
        <w:rPr>
          <w:rFonts w:hint="default" w:ascii="Times New Roman" w:hAnsi="Times New Roman" w:eastAsia="仿宋_GB2312" w:cs="Times New Roman"/>
          <w:b w:val="0"/>
          <w:bCs w:val="0"/>
          <w:color w:val="000000"/>
          <w:sz w:val="32"/>
          <w:szCs w:val="32"/>
        </w:rPr>
        <w:t>元.政府采购工程支出0元，政府采购服务支出</w:t>
      </w:r>
      <w:r>
        <w:rPr>
          <w:rFonts w:hint="default" w:ascii="Times New Roman" w:hAnsi="Times New Roman" w:eastAsia="仿宋_GB2312" w:cs="Times New Roman"/>
          <w:b w:val="0"/>
          <w:bCs w:val="0"/>
          <w:color w:val="000000"/>
          <w:sz w:val="32"/>
          <w:szCs w:val="32"/>
          <w:lang w:val="en-US" w:eastAsia="zh-CN"/>
        </w:rPr>
        <w:t>0</w:t>
      </w:r>
      <w:r>
        <w:rPr>
          <w:rFonts w:hint="default" w:ascii="Times New Roman" w:hAnsi="Times New Roman" w:eastAsia="仿宋_GB2312" w:cs="Times New Roman"/>
          <w:b w:val="0"/>
          <w:bCs w:val="0"/>
          <w:color w:val="000000"/>
          <w:sz w:val="32"/>
          <w:szCs w:val="32"/>
        </w:rPr>
        <w:t>元。主要用于州人大建立代表履职平台建设、3辆公务用车大修以及购买国产电脑等办公设备保障人大机关日常工作运转。</w:t>
      </w:r>
      <w:r>
        <w:rPr>
          <w:rFonts w:hint="default" w:ascii="Times New Roman" w:hAnsi="Times New Roman" w:eastAsia="仿宋_GB2312" w:cs="Times New Roman"/>
          <w:b w:val="0"/>
          <w:bCs w:val="0"/>
          <w:color w:val="auto"/>
          <w:sz w:val="32"/>
          <w:szCs w:val="32"/>
          <w:highlight w:val="none"/>
        </w:rPr>
        <w:t>授予中小企业合同金额</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万元，占政府采购支出总额的</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%，其中：授予小微企业合同金额</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万元，占政府采购支出总额的</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w:t>
      </w:r>
    </w:p>
    <w:p w14:paraId="71BD58F8">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（三）国有资产占有使用情况</w:t>
      </w:r>
    </w:p>
    <w:p w14:paraId="2BD257A4">
      <w:pPr>
        <w:autoSpaceDE w:val="0"/>
        <w:autoSpaceDN w:val="0"/>
        <w:adjustRightInd w:val="0"/>
        <w:spacing w:line="600" w:lineRule="exact"/>
        <w:ind w:firstLine="640" w:firstLineChars="200"/>
        <w:jc w:val="left"/>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截至</w:t>
      </w:r>
      <w:r>
        <w:rPr>
          <w:rFonts w:hint="default" w:ascii="Times New Roman" w:hAnsi="Times New Roman" w:eastAsia="仿宋_GB2312" w:cs="Times New Roman"/>
          <w:b w:val="0"/>
          <w:bCs w:val="0"/>
          <w:color w:val="auto"/>
          <w:sz w:val="32"/>
          <w:szCs w:val="32"/>
          <w:highlight w:val="none"/>
          <w:lang w:eastAsia="zh-CN"/>
        </w:rPr>
        <w:t>202</w:t>
      </w: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rPr>
        <w:t>年12月31日，</w:t>
      </w:r>
      <w:r>
        <w:rPr>
          <w:rFonts w:hint="default" w:ascii="Times New Roman" w:hAnsi="Times New Roman" w:eastAsia="仿宋_GB2312" w:cs="Times New Roman"/>
          <w:b w:val="0"/>
          <w:bCs w:val="0"/>
          <w:color w:val="auto"/>
          <w:sz w:val="32"/>
          <w:szCs w:val="32"/>
          <w:highlight w:val="none"/>
          <w:lang w:val="en-US" w:eastAsia="zh-CN"/>
        </w:rPr>
        <w:t>阿坝州人大常委会办公室</w:t>
      </w:r>
      <w:r>
        <w:rPr>
          <w:rFonts w:hint="default" w:ascii="Times New Roman" w:hAnsi="Times New Roman" w:eastAsia="仿宋_GB2312" w:cs="Times New Roman"/>
          <w:b w:val="0"/>
          <w:bCs w:val="0"/>
          <w:color w:val="auto"/>
          <w:sz w:val="32"/>
          <w:szCs w:val="32"/>
          <w:highlight w:val="none"/>
        </w:rPr>
        <w:t>共有车辆</w:t>
      </w:r>
      <w:r>
        <w:rPr>
          <w:rFonts w:hint="default"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rPr>
        <w:t>辆，其中：</w:t>
      </w:r>
      <w:r>
        <w:rPr>
          <w:rFonts w:hint="default" w:ascii="Times New Roman" w:hAnsi="Times New Roman" w:eastAsia="仿宋_GB2312" w:cs="Times New Roman"/>
          <w:b w:val="0"/>
          <w:bCs w:val="0"/>
          <w:color w:val="auto"/>
          <w:sz w:val="32"/>
          <w:szCs w:val="32"/>
          <w:highlight w:val="none"/>
          <w:lang w:val="en-US" w:eastAsia="zh-CN"/>
        </w:rPr>
        <w:t>越野车1</w:t>
      </w:r>
      <w:r>
        <w:rPr>
          <w:rFonts w:hint="eastAsia"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rPr>
        <w:t>辆</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单价50万元以上通用设备</w:t>
      </w: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台，单价100万元以上专用设备</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台。</w:t>
      </w:r>
    </w:p>
    <w:p w14:paraId="3CE8ED96">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4383EC63">
      <w:pPr>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根据预算绩效管理要求，本单位在202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年度预算编制阶段，组织对民族立法经费等</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个项目开展了预算事前绩效评估，对</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个项目编制了绩效目标，预算执行过程中，选取</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个项目开展绩效监控，组织对</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个项目开展绩效自评，绩效自评表详见第四部分附件。</w:t>
      </w:r>
    </w:p>
    <w:p w14:paraId="7EB9EE8D">
      <w:pPr>
        <w:spacing w:line="600" w:lineRule="exact"/>
        <w:ind w:firstLine="640" w:firstLineChars="200"/>
        <w:rPr>
          <w:rFonts w:hint="eastAsia" w:ascii="仿宋_GB2312" w:hAnsi="Times New Roman" w:eastAsia="仿宋_GB2312" w:cs="Times New Roman"/>
          <w:color w:val="auto"/>
          <w:sz w:val="32"/>
          <w:szCs w:val="32"/>
          <w:highlight w:val="lightGray"/>
          <w:lang w:eastAsia="zh-CN"/>
        </w:rPr>
      </w:pPr>
      <w:r>
        <w:rPr>
          <w:rFonts w:hint="eastAsia" w:ascii="仿宋_GB2312" w:hAnsi="Times New Roman" w:eastAsia="仿宋_GB2312" w:cs="Times New Roman"/>
          <w:color w:val="auto"/>
          <w:sz w:val="32"/>
          <w:szCs w:val="32"/>
          <w:highlight w:val="lightGray"/>
          <w:lang w:eastAsia="zh-CN"/>
        </w:rPr>
        <w:br w:type="page"/>
      </w:r>
    </w:p>
    <w:p w14:paraId="54FD2FA6">
      <w:pPr>
        <w:numPr>
          <w:ilvl w:val="0"/>
          <w:numId w:val="0"/>
        </w:numPr>
        <w:spacing w:line="600" w:lineRule="exact"/>
        <w:jc w:val="center"/>
        <w:outlineLvl w:val="0"/>
        <w:rPr>
          <w:rStyle w:val="20"/>
          <w:rFonts w:ascii="黑体" w:hAnsi="黑体" w:eastAsia="黑体"/>
          <w:b w:val="0"/>
          <w:color w:val="auto"/>
          <w:highlight w:val="none"/>
        </w:rPr>
      </w:pPr>
      <w:bookmarkStart w:id="24" w:name="_Toc9118"/>
      <w:r>
        <w:rPr>
          <w:rFonts w:hint="eastAsia" w:ascii="黑体" w:hAnsi="黑体" w:eastAsia="黑体"/>
          <w:color w:val="auto"/>
          <w:sz w:val="44"/>
          <w:szCs w:val="44"/>
          <w:highlight w:val="none"/>
          <w:lang w:eastAsia="zh-CN"/>
        </w:rPr>
        <w:t>第三部分</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20"/>
          <w:rFonts w:hint="eastAsia" w:ascii="黑体" w:hAnsi="黑体" w:eastAsia="黑体"/>
          <w:b w:val="0"/>
          <w:color w:val="auto"/>
          <w:highlight w:val="none"/>
        </w:rPr>
        <w:t>词解释</w:t>
      </w:r>
      <w:bookmarkEnd w:id="24"/>
    </w:p>
    <w:p w14:paraId="4A8EE6BD">
      <w:pPr>
        <w:spacing w:line="600" w:lineRule="exact"/>
        <w:jc w:val="left"/>
        <w:rPr>
          <w:rFonts w:ascii="宋体"/>
          <w:b/>
          <w:color w:val="auto"/>
          <w:sz w:val="44"/>
          <w:szCs w:val="44"/>
          <w:highlight w:val="none"/>
        </w:rPr>
      </w:pPr>
    </w:p>
    <w:p w14:paraId="2700F3BD">
      <w:pPr>
        <w:pStyle w:val="26"/>
        <w:spacing w:line="560" w:lineRule="exact"/>
        <w:ind w:firstLine="640" w:firstLineChars="200"/>
        <w:outlineLvl w:val="1"/>
        <w:rPr>
          <w:rFonts w:ascii="仿宋_GB2312" w:eastAsia="仿宋_GB2312"/>
          <w:color w:val="auto"/>
          <w:sz w:val="32"/>
          <w:szCs w:val="32"/>
        </w:rPr>
      </w:pPr>
      <w:bookmarkStart w:id="25" w:name="_Toc8369"/>
      <w:bookmarkStart w:id="26" w:name="_Toc10699"/>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bookmarkEnd w:id="25"/>
      <w:bookmarkEnd w:id="26"/>
    </w:p>
    <w:p w14:paraId="2F571499">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4A9E57B1">
      <w:pPr>
        <w:pStyle w:val="26"/>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3FDD127F">
      <w:pPr>
        <w:pStyle w:val="26"/>
        <w:spacing w:line="560" w:lineRule="exact"/>
        <w:ind w:firstLine="640" w:firstLineChars="200"/>
        <w:outlineLvl w:val="1"/>
        <w:rPr>
          <w:rFonts w:ascii="仿宋_GB2312" w:eastAsia="仿宋_GB2312"/>
          <w:color w:val="auto"/>
          <w:sz w:val="32"/>
          <w:szCs w:val="32"/>
        </w:rPr>
      </w:pPr>
      <w:bookmarkStart w:id="27" w:name="_Toc20903"/>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bookmarkEnd w:id="27"/>
    </w:p>
    <w:p w14:paraId="2F95731B">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p>
    <w:p w14:paraId="0C2F7627">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254C60E6">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12D1B54E">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75215954">
      <w:pPr>
        <w:ind w:firstLine="640" w:firstLineChars="200"/>
        <w:rPr>
          <w:rFonts w:hint="eastAsia" w:ascii="仿宋_GB2312" w:eastAsia="仿宋_GB2312" w:cs="Times New Roman"/>
          <w:color w:val="auto"/>
          <w:sz w:val="32"/>
          <w:szCs w:val="32"/>
          <w:highlight w:val="none"/>
          <w:lang w:val="en-US" w:eastAsia="zh-CN"/>
        </w:rPr>
      </w:pPr>
      <w:r>
        <w:rPr>
          <w:rFonts w:hint="eastAsia" w:ascii="仿宋_GB2312" w:hAnsi="Calibri" w:eastAsia="仿宋_GB2312" w:cs="仿宋"/>
          <w:color w:val="auto"/>
          <w:kern w:val="0"/>
          <w:sz w:val="32"/>
          <w:szCs w:val="32"/>
          <w:highlight w:val="none"/>
          <w:lang w:val="en-US" w:eastAsia="zh-CN" w:bidi="ar-SA"/>
        </w:rPr>
        <w:t>9.</w:t>
      </w:r>
      <w:r>
        <w:rPr>
          <w:rFonts w:hint="eastAsia" w:ascii="仿宋_GB2312" w:eastAsia="仿宋_GB2312" w:cs="Times New Roman"/>
          <w:color w:val="auto"/>
          <w:sz w:val="32"/>
          <w:szCs w:val="32"/>
          <w:highlight w:val="none"/>
        </w:rPr>
        <w:t>一般公共服务（</w:t>
      </w:r>
      <w:r>
        <w:rPr>
          <w:rFonts w:hint="eastAsia" w:ascii="仿宋_GB2312" w:eastAsia="仿宋_GB2312" w:cs="Times New Roman"/>
          <w:color w:val="auto"/>
          <w:sz w:val="32"/>
          <w:szCs w:val="32"/>
          <w:highlight w:val="none"/>
          <w:lang w:val="en-US" w:eastAsia="zh-CN"/>
        </w:rPr>
        <w:t>201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人大事务</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行政运行</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01</w:t>
      </w:r>
      <w:r>
        <w:rPr>
          <w:rStyle w:val="17"/>
          <w:rFonts w:hint="eastAsia" w:ascii="仿宋" w:hAnsi="仿宋" w:eastAsia="仿宋"/>
          <w:bCs/>
          <w:color w:val="000000"/>
          <w:sz w:val="32"/>
          <w:szCs w:val="32"/>
        </w:rPr>
        <w:t>）</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Fonts w:hint="eastAsia" w:ascii="仿宋_GB2312" w:eastAsia="仿宋_GB2312" w:cs="Times New Roman"/>
          <w:color w:val="auto"/>
          <w:sz w:val="32"/>
          <w:szCs w:val="32"/>
          <w:highlight w:val="none"/>
          <w:lang w:val="en-US" w:eastAsia="zh-CN"/>
        </w:rPr>
        <w:t>反映各级人民代表大会（以下简称“人大”）的支出。</w:t>
      </w:r>
    </w:p>
    <w:p w14:paraId="1FF973E1">
      <w:pPr>
        <w:ind w:firstLine="640" w:firstLineChars="200"/>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lang w:val="en-US" w:eastAsia="zh-CN"/>
        </w:rPr>
        <w:t>10.</w:t>
      </w:r>
      <w:r>
        <w:rPr>
          <w:rFonts w:hint="eastAsia" w:ascii="仿宋_GB2312" w:eastAsia="仿宋_GB2312" w:cs="Times New Roman"/>
          <w:color w:val="auto"/>
          <w:sz w:val="32"/>
          <w:szCs w:val="32"/>
          <w:highlight w:val="none"/>
        </w:rPr>
        <w:t>一般公共服务（</w:t>
      </w:r>
      <w:r>
        <w:rPr>
          <w:rFonts w:hint="eastAsia" w:ascii="仿宋_GB2312" w:eastAsia="仿宋_GB2312" w:cs="Times New Roman"/>
          <w:color w:val="auto"/>
          <w:sz w:val="32"/>
          <w:szCs w:val="32"/>
          <w:highlight w:val="none"/>
          <w:lang w:val="en-US" w:eastAsia="zh-CN"/>
        </w:rPr>
        <w:t>201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人大事务</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人大会议</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04</w:t>
      </w:r>
      <w:r>
        <w:rPr>
          <w:rFonts w:hint="eastAsia" w:ascii="仿宋_GB2312" w:eastAsia="仿宋_GB2312" w:cs="Times New Roman"/>
          <w:color w:val="auto"/>
          <w:sz w:val="32"/>
          <w:szCs w:val="32"/>
          <w:highlight w:val="none"/>
        </w:rPr>
        <w:t xml:space="preserve">）: </w:t>
      </w:r>
      <w:r>
        <w:rPr>
          <w:rFonts w:hint="eastAsia" w:ascii="仿宋_GB2312" w:eastAsia="仿宋_GB2312" w:cs="Times New Roman"/>
          <w:color w:val="auto"/>
          <w:sz w:val="32"/>
          <w:szCs w:val="32"/>
          <w:highlight w:val="none"/>
          <w:lang w:val="en-US" w:eastAsia="zh-CN"/>
        </w:rPr>
        <w:t>反映各级人大召开人民代表大会等专门会议支出</w:t>
      </w:r>
      <w:r>
        <w:rPr>
          <w:rFonts w:hint="eastAsia" w:ascii="仿宋_GB2312" w:eastAsia="仿宋_GB2312" w:cs="Times New Roman"/>
          <w:color w:val="auto"/>
          <w:sz w:val="32"/>
          <w:szCs w:val="32"/>
          <w:highlight w:val="none"/>
        </w:rPr>
        <w:t>。</w:t>
      </w:r>
    </w:p>
    <w:p w14:paraId="245036A5">
      <w:pPr>
        <w:ind w:firstLine="640" w:firstLineChars="200"/>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lang w:val="en-US" w:eastAsia="zh-CN"/>
        </w:rPr>
        <w:t>11.</w:t>
      </w:r>
      <w:r>
        <w:rPr>
          <w:rFonts w:hint="eastAsia" w:ascii="仿宋_GB2312" w:eastAsia="仿宋_GB2312" w:cs="Times New Roman"/>
          <w:color w:val="auto"/>
          <w:sz w:val="32"/>
          <w:szCs w:val="32"/>
          <w:highlight w:val="none"/>
        </w:rPr>
        <w:t>一般公共服务（</w:t>
      </w:r>
      <w:r>
        <w:rPr>
          <w:rFonts w:hint="eastAsia" w:ascii="仿宋_GB2312" w:eastAsia="仿宋_GB2312" w:cs="Times New Roman"/>
          <w:color w:val="auto"/>
          <w:sz w:val="32"/>
          <w:szCs w:val="32"/>
          <w:highlight w:val="none"/>
          <w:lang w:val="en-US" w:eastAsia="zh-CN"/>
        </w:rPr>
        <w:t>201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人大事务</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人大立法</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05</w:t>
      </w:r>
      <w:r>
        <w:rPr>
          <w:rFonts w:hint="eastAsia" w:ascii="仿宋_GB2312" w:eastAsia="仿宋_GB2312" w:cs="Times New Roman"/>
          <w:color w:val="auto"/>
          <w:sz w:val="32"/>
          <w:szCs w:val="32"/>
          <w:highlight w:val="none"/>
        </w:rPr>
        <w:t xml:space="preserve">）: </w:t>
      </w:r>
      <w:r>
        <w:rPr>
          <w:rFonts w:hint="eastAsia" w:ascii="仿宋_GB2312" w:eastAsia="仿宋_GB2312" w:cs="Times New Roman"/>
          <w:color w:val="auto"/>
          <w:sz w:val="32"/>
          <w:szCs w:val="32"/>
          <w:highlight w:val="none"/>
          <w:lang w:val="en-US" w:eastAsia="zh-CN"/>
        </w:rPr>
        <w:t>反映各级人大立法方面的支出</w:t>
      </w:r>
      <w:r>
        <w:rPr>
          <w:rFonts w:hint="eastAsia" w:ascii="仿宋_GB2312" w:eastAsia="仿宋_GB2312" w:cs="Times New Roman"/>
          <w:color w:val="auto"/>
          <w:sz w:val="32"/>
          <w:szCs w:val="32"/>
          <w:highlight w:val="none"/>
        </w:rPr>
        <w:t>。</w:t>
      </w:r>
    </w:p>
    <w:p w14:paraId="744CA307">
      <w:pPr>
        <w:ind w:firstLine="640" w:firstLineChars="200"/>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lang w:val="en-US" w:eastAsia="zh-CN"/>
        </w:rPr>
        <w:t>12.</w:t>
      </w:r>
      <w:r>
        <w:rPr>
          <w:rFonts w:hint="eastAsia" w:ascii="仿宋_GB2312" w:eastAsia="仿宋_GB2312" w:cs="Times New Roman"/>
          <w:color w:val="auto"/>
          <w:sz w:val="32"/>
          <w:szCs w:val="32"/>
          <w:highlight w:val="none"/>
        </w:rPr>
        <w:t>一般公共服务（</w:t>
      </w:r>
      <w:r>
        <w:rPr>
          <w:rFonts w:hint="eastAsia" w:ascii="仿宋_GB2312" w:eastAsia="仿宋_GB2312" w:cs="Times New Roman"/>
          <w:color w:val="auto"/>
          <w:sz w:val="32"/>
          <w:szCs w:val="32"/>
          <w:highlight w:val="none"/>
          <w:lang w:val="en-US" w:eastAsia="zh-CN"/>
        </w:rPr>
        <w:t>201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人大事务</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人大监督</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06</w:t>
      </w:r>
      <w:r>
        <w:rPr>
          <w:rFonts w:hint="eastAsia" w:ascii="仿宋_GB2312" w:eastAsia="仿宋_GB2312" w:cs="Times New Roman"/>
          <w:color w:val="auto"/>
          <w:sz w:val="32"/>
          <w:szCs w:val="32"/>
          <w:highlight w:val="none"/>
        </w:rPr>
        <w:t xml:space="preserve">）: </w:t>
      </w:r>
      <w:r>
        <w:rPr>
          <w:rFonts w:hint="eastAsia" w:ascii="仿宋_GB2312" w:eastAsia="仿宋_GB2312" w:cs="Times New Roman"/>
          <w:color w:val="auto"/>
          <w:sz w:val="32"/>
          <w:szCs w:val="32"/>
          <w:highlight w:val="none"/>
          <w:lang w:val="en-US" w:eastAsia="zh-CN"/>
        </w:rPr>
        <w:t>反映各级人大开展监督工作的支出</w:t>
      </w:r>
      <w:r>
        <w:rPr>
          <w:rFonts w:hint="eastAsia" w:ascii="仿宋_GB2312" w:eastAsia="仿宋_GB2312" w:cs="Times New Roman"/>
          <w:color w:val="auto"/>
          <w:sz w:val="32"/>
          <w:szCs w:val="32"/>
          <w:highlight w:val="none"/>
        </w:rPr>
        <w:t>。</w:t>
      </w:r>
    </w:p>
    <w:p w14:paraId="7AD1A8BB">
      <w:pPr>
        <w:ind w:firstLine="640" w:firstLineChars="200"/>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lang w:val="en-US" w:eastAsia="zh-CN"/>
        </w:rPr>
        <w:t>13.</w:t>
      </w:r>
      <w:r>
        <w:rPr>
          <w:rFonts w:hint="eastAsia" w:ascii="仿宋_GB2312" w:eastAsia="仿宋_GB2312" w:cs="Times New Roman"/>
          <w:color w:val="auto"/>
          <w:sz w:val="32"/>
          <w:szCs w:val="32"/>
          <w:highlight w:val="none"/>
        </w:rPr>
        <w:t>一般公共服务（</w:t>
      </w:r>
      <w:r>
        <w:rPr>
          <w:rFonts w:hint="eastAsia" w:ascii="仿宋_GB2312" w:eastAsia="仿宋_GB2312" w:cs="Times New Roman"/>
          <w:color w:val="auto"/>
          <w:sz w:val="32"/>
          <w:szCs w:val="32"/>
          <w:highlight w:val="none"/>
          <w:lang w:val="en-US" w:eastAsia="zh-CN"/>
        </w:rPr>
        <w:t>201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人大事务</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人大代表履职能力提升</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07</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反映各级人大为提高代表履职能力所发生的各项支出</w:t>
      </w:r>
      <w:r>
        <w:rPr>
          <w:rFonts w:hint="eastAsia" w:ascii="仿宋_GB2312" w:eastAsia="仿宋_GB2312" w:cs="Times New Roman"/>
          <w:color w:val="auto"/>
          <w:sz w:val="32"/>
          <w:szCs w:val="32"/>
          <w:highlight w:val="none"/>
        </w:rPr>
        <w:t>。</w:t>
      </w:r>
    </w:p>
    <w:p w14:paraId="06D946E0">
      <w:pPr>
        <w:ind w:firstLine="640" w:firstLineChars="200"/>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lang w:val="en-US" w:eastAsia="zh-CN"/>
        </w:rPr>
        <w:t>14.</w:t>
      </w:r>
      <w:r>
        <w:rPr>
          <w:rFonts w:hint="eastAsia" w:ascii="仿宋_GB2312" w:eastAsia="仿宋_GB2312" w:cs="Times New Roman"/>
          <w:color w:val="auto"/>
          <w:sz w:val="32"/>
          <w:szCs w:val="32"/>
          <w:highlight w:val="none"/>
        </w:rPr>
        <w:t>一般公共服务（</w:t>
      </w:r>
      <w:r>
        <w:rPr>
          <w:rFonts w:hint="eastAsia" w:ascii="仿宋_GB2312" w:eastAsia="仿宋_GB2312" w:cs="Times New Roman"/>
          <w:color w:val="auto"/>
          <w:sz w:val="32"/>
          <w:szCs w:val="32"/>
          <w:highlight w:val="none"/>
          <w:lang w:val="en-US" w:eastAsia="zh-CN"/>
        </w:rPr>
        <w:t>201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人大事务</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代表工作</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08</w:t>
      </w:r>
      <w:r>
        <w:rPr>
          <w:rFonts w:hint="eastAsia" w:ascii="仿宋_GB2312" w:eastAsia="仿宋_GB2312" w:cs="Times New Roman"/>
          <w:color w:val="auto"/>
          <w:sz w:val="32"/>
          <w:szCs w:val="32"/>
          <w:highlight w:val="none"/>
        </w:rPr>
        <w:t xml:space="preserve">）: </w:t>
      </w:r>
      <w:r>
        <w:rPr>
          <w:rFonts w:hint="eastAsia" w:ascii="仿宋_GB2312" w:eastAsia="仿宋_GB2312" w:cs="Times New Roman"/>
          <w:color w:val="auto"/>
          <w:sz w:val="32"/>
          <w:szCs w:val="32"/>
          <w:highlight w:val="none"/>
          <w:lang w:val="en-US" w:eastAsia="zh-CN"/>
        </w:rPr>
        <w:t>反映各级人大代表开展各类视察等方面的支出</w:t>
      </w:r>
      <w:r>
        <w:rPr>
          <w:rFonts w:hint="eastAsia" w:ascii="仿宋_GB2312" w:eastAsia="仿宋_GB2312" w:cs="Times New Roman"/>
          <w:color w:val="auto"/>
          <w:sz w:val="32"/>
          <w:szCs w:val="32"/>
          <w:highlight w:val="none"/>
        </w:rPr>
        <w:t>。</w:t>
      </w:r>
    </w:p>
    <w:p w14:paraId="0A6CC403">
      <w:pPr>
        <w:ind w:firstLine="640" w:firstLineChars="200"/>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lang w:val="en-US" w:eastAsia="zh-CN"/>
        </w:rPr>
        <w:t>15.</w:t>
      </w:r>
      <w:r>
        <w:rPr>
          <w:rFonts w:hint="eastAsia" w:ascii="仿宋_GB2312" w:eastAsia="仿宋_GB2312" w:cs="Times New Roman"/>
          <w:color w:val="auto"/>
          <w:sz w:val="32"/>
          <w:szCs w:val="32"/>
          <w:highlight w:val="none"/>
        </w:rPr>
        <w:t>一般公共服务（</w:t>
      </w:r>
      <w:r>
        <w:rPr>
          <w:rFonts w:hint="eastAsia" w:ascii="仿宋_GB2312" w:eastAsia="仿宋_GB2312" w:cs="Times New Roman"/>
          <w:color w:val="auto"/>
          <w:sz w:val="32"/>
          <w:szCs w:val="32"/>
          <w:highlight w:val="none"/>
          <w:lang w:val="en-US" w:eastAsia="zh-CN"/>
        </w:rPr>
        <w:t>201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人大事务</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其他人大事务支出</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99</w:t>
      </w:r>
      <w:r>
        <w:rPr>
          <w:rFonts w:hint="eastAsia" w:ascii="仿宋_GB2312" w:eastAsia="仿宋_GB2312" w:cs="Times New Roman"/>
          <w:color w:val="auto"/>
          <w:sz w:val="32"/>
          <w:szCs w:val="32"/>
          <w:highlight w:val="none"/>
        </w:rPr>
        <w:t xml:space="preserve">）: </w:t>
      </w:r>
      <w:r>
        <w:rPr>
          <w:rFonts w:hint="eastAsia" w:ascii="仿宋_GB2312" w:eastAsia="仿宋_GB2312" w:cs="Times New Roman"/>
          <w:color w:val="auto"/>
          <w:sz w:val="32"/>
          <w:szCs w:val="32"/>
          <w:highlight w:val="none"/>
          <w:lang w:val="en-US" w:eastAsia="zh-CN"/>
        </w:rPr>
        <w:t>反映除上述项目以为的其他人大事务支出</w:t>
      </w:r>
      <w:r>
        <w:rPr>
          <w:rFonts w:hint="eastAsia" w:ascii="仿宋_GB2312" w:eastAsia="仿宋_GB2312" w:cs="Times New Roman"/>
          <w:color w:val="auto"/>
          <w:sz w:val="32"/>
          <w:szCs w:val="32"/>
          <w:highlight w:val="none"/>
        </w:rPr>
        <w:t>。</w:t>
      </w:r>
    </w:p>
    <w:p w14:paraId="0427B519">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eastAsia="仿宋_GB2312" w:cs="Times New Roman"/>
          <w:color w:val="auto"/>
          <w:sz w:val="32"/>
          <w:szCs w:val="32"/>
          <w:highlight w:val="none"/>
          <w:lang w:val="en-US" w:eastAsia="zh-CN"/>
        </w:rPr>
        <w:t>16.</w:t>
      </w:r>
      <w:r>
        <w:rPr>
          <w:rFonts w:hint="eastAsia" w:ascii="仿宋_GB2312" w:eastAsia="仿宋_GB2312" w:cs="Times New Roman"/>
          <w:color w:val="auto"/>
          <w:sz w:val="32"/>
          <w:szCs w:val="32"/>
          <w:highlight w:val="none"/>
        </w:rPr>
        <w:t>教育支出（</w:t>
      </w:r>
      <w:r>
        <w:rPr>
          <w:rFonts w:hint="eastAsia" w:ascii="仿宋_GB2312" w:eastAsia="仿宋_GB2312" w:cs="Times New Roman"/>
          <w:color w:val="auto"/>
          <w:sz w:val="32"/>
          <w:szCs w:val="32"/>
          <w:highlight w:val="none"/>
          <w:lang w:val="en-US" w:eastAsia="zh-CN"/>
        </w:rPr>
        <w:t>205</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其他教育支出</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99</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其他教育支出</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99</w:t>
      </w:r>
      <w:r>
        <w:rPr>
          <w:rFonts w:hint="eastAsia" w:ascii="仿宋_GB2312" w:eastAsia="仿宋_GB2312" w:cs="Times New Roman"/>
          <w:color w:val="auto"/>
          <w:sz w:val="32"/>
          <w:szCs w:val="32"/>
          <w:highlight w:val="none"/>
        </w:rPr>
        <w:t xml:space="preserve">）: </w:t>
      </w:r>
      <w:r>
        <w:rPr>
          <w:rFonts w:hint="eastAsia" w:ascii="仿宋_GB2312" w:eastAsia="仿宋_GB2312" w:cs="Times New Roman"/>
          <w:color w:val="auto"/>
          <w:sz w:val="32"/>
          <w:szCs w:val="32"/>
          <w:highlight w:val="none"/>
          <w:lang w:val="en-US" w:eastAsia="zh-CN"/>
        </w:rPr>
        <w:t>反映除上述项目以为其他用于教育方面的支出。</w:t>
      </w:r>
    </w:p>
    <w:p w14:paraId="5A0C9270">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eastAsia="仿宋_GB2312" w:cs="仿宋"/>
          <w:color w:val="auto"/>
          <w:kern w:val="0"/>
          <w:sz w:val="32"/>
          <w:szCs w:val="32"/>
          <w:highlight w:val="none"/>
          <w:lang w:val="en-US" w:eastAsia="zh-CN" w:bidi="ar-SA"/>
        </w:rPr>
        <w:t>17.</w:t>
      </w:r>
      <w:r>
        <w:rPr>
          <w:rFonts w:hint="eastAsia" w:ascii="仿宋_GB2312" w:hAnsi="Calibri" w:eastAsia="仿宋_GB2312" w:cs="仿宋"/>
          <w:color w:val="auto"/>
          <w:kern w:val="0"/>
          <w:sz w:val="32"/>
          <w:szCs w:val="32"/>
          <w:highlight w:val="none"/>
          <w:lang w:val="en-US" w:eastAsia="zh-CN" w:bidi="ar-SA"/>
        </w:rPr>
        <w:t>社会保障和就业（208）行政事业单位养老（05）机关事业单位基本养老保险缴费（05）：反映机关事业单位实施养老保险制度由单位缴纳的基本养老保险费支出。</w:t>
      </w:r>
    </w:p>
    <w:p w14:paraId="13D7A9E9">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w:t>
      </w:r>
      <w:r>
        <w:rPr>
          <w:rFonts w:hint="eastAsia" w:ascii="仿宋_GB2312" w:eastAsia="仿宋_GB2312" w:cs="仿宋"/>
          <w:color w:val="auto"/>
          <w:kern w:val="0"/>
          <w:sz w:val="32"/>
          <w:szCs w:val="32"/>
          <w:highlight w:val="none"/>
          <w:lang w:val="en-US" w:eastAsia="zh-CN" w:bidi="ar-SA"/>
        </w:rPr>
        <w:t>8</w:t>
      </w:r>
      <w:r>
        <w:rPr>
          <w:rFonts w:hint="eastAsia" w:ascii="仿宋_GB2312" w:hAnsi="Calibri" w:eastAsia="仿宋_GB2312" w:cs="仿宋"/>
          <w:color w:val="auto"/>
          <w:kern w:val="0"/>
          <w:sz w:val="32"/>
          <w:szCs w:val="32"/>
          <w:highlight w:val="none"/>
          <w:lang w:val="en-US" w:eastAsia="zh-CN" w:bidi="ar-SA"/>
        </w:rPr>
        <w:t>.社会保障和就业（208）行政事业单位养老（05）机关事业单位职业年金缴费（06）：反映机关事业单位实施养老保险制度由单位实际缴纳的职业年金支出</w:t>
      </w:r>
      <w:r>
        <w:rPr>
          <w:rFonts w:hint="eastAsia" w:ascii="仿宋_GB2312" w:eastAsia="仿宋_GB2312" w:cs="仿宋"/>
          <w:color w:val="auto"/>
          <w:kern w:val="0"/>
          <w:sz w:val="32"/>
          <w:szCs w:val="32"/>
          <w:highlight w:val="none"/>
          <w:lang w:val="en-US" w:eastAsia="zh-CN" w:bidi="ar-SA"/>
        </w:rPr>
        <w:t>（含职业年金补给支出）</w:t>
      </w:r>
      <w:r>
        <w:rPr>
          <w:rFonts w:hint="eastAsia" w:ascii="仿宋_GB2312" w:hAnsi="Calibri" w:eastAsia="仿宋_GB2312" w:cs="仿宋"/>
          <w:color w:val="auto"/>
          <w:kern w:val="0"/>
          <w:sz w:val="32"/>
          <w:szCs w:val="32"/>
          <w:highlight w:val="none"/>
          <w:lang w:val="en-US" w:eastAsia="zh-CN" w:bidi="ar-SA"/>
        </w:rPr>
        <w:t>。</w:t>
      </w:r>
    </w:p>
    <w:p w14:paraId="58275B79">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eastAsia="仿宋_GB2312" w:cs="仿宋"/>
          <w:color w:val="auto"/>
          <w:kern w:val="0"/>
          <w:sz w:val="32"/>
          <w:szCs w:val="32"/>
          <w:highlight w:val="none"/>
          <w:lang w:val="en-US" w:eastAsia="zh-CN" w:bidi="ar-SA"/>
        </w:rPr>
        <w:t>19</w:t>
      </w:r>
      <w:r>
        <w:rPr>
          <w:rFonts w:hint="eastAsia" w:ascii="仿宋_GB2312" w:hAnsi="Calibri" w:eastAsia="仿宋_GB2312" w:cs="仿宋"/>
          <w:color w:val="auto"/>
          <w:kern w:val="0"/>
          <w:sz w:val="32"/>
          <w:szCs w:val="32"/>
          <w:highlight w:val="none"/>
          <w:lang w:val="en-US" w:eastAsia="zh-CN" w:bidi="ar-SA"/>
        </w:rPr>
        <w:t>.卫生健康（210）</w:t>
      </w:r>
      <w:r>
        <w:rPr>
          <w:rFonts w:hint="eastAsia" w:ascii="仿宋_GB2312" w:eastAsia="仿宋_GB2312" w:cs="仿宋"/>
          <w:color w:val="auto"/>
          <w:kern w:val="0"/>
          <w:sz w:val="32"/>
          <w:szCs w:val="32"/>
          <w:highlight w:val="none"/>
          <w:lang w:val="en-US" w:eastAsia="zh-CN" w:bidi="ar-SA"/>
        </w:rPr>
        <w:t>行政事业单位医疗</w:t>
      </w:r>
      <w:r>
        <w:rPr>
          <w:rFonts w:hint="eastAsia" w:ascii="仿宋_GB2312" w:hAnsi="Calibri" w:eastAsia="仿宋_GB2312" w:cs="仿宋"/>
          <w:color w:val="auto"/>
          <w:kern w:val="0"/>
          <w:sz w:val="32"/>
          <w:szCs w:val="32"/>
          <w:highlight w:val="none"/>
          <w:lang w:val="en-US" w:eastAsia="zh-CN" w:bidi="ar-SA"/>
        </w:rPr>
        <w:t>（</w:t>
      </w:r>
      <w:r>
        <w:rPr>
          <w:rFonts w:hint="eastAsia" w:ascii="仿宋_GB2312" w:eastAsia="仿宋_GB2312" w:cs="仿宋"/>
          <w:color w:val="auto"/>
          <w:kern w:val="0"/>
          <w:sz w:val="32"/>
          <w:szCs w:val="32"/>
          <w:highlight w:val="none"/>
          <w:lang w:val="en-US" w:eastAsia="zh-CN" w:bidi="ar-SA"/>
        </w:rPr>
        <w:t>11</w:t>
      </w:r>
      <w:r>
        <w:rPr>
          <w:rFonts w:hint="eastAsia" w:ascii="仿宋_GB2312" w:hAnsi="Calibri" w:eastAsia="仿宋_GB2312" w:cs="仿宋"/>
          <w:color w:val="auto"/>
          <w:kern w:val="0"/>
          <w:sz w:val="32"/>
          <w:szCs w:val="32"/>
          <w:highlight w:val="none"/>
          <w:lang w:val="en-US" w:eastAsia="zh-CN" w:bidi="ar-SA"/>
        </w:rPr>
        <w:t>）行政单位医疗（01）：反映财政部门安排的行政单位（包括实行公务员管理的事业单位）基本医疗保险缴费经费，未参加医疗保险的行政单位的公费医疗经费，按国家规定享受离休、红军老战士待遇人员的医疗经费。</w:t>
      </w:r>
    </w:p>
    <w:p w14:paraId="42EC4992">
      <w:pPr>
        <w:ind w:firstLine="640" w:firstLineChars="200"/>
        <w:rPr>
          <w:rFonts w:hint="eastAsia" w:ascii="仿宋_GB2312"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20</w:t>
      </w:r>
      <w:r>
        <w:rPr>
          <w:rFonts w:hint="eastAsia" w:ascii="仿宋_GB2312" w:eastAsia="仿宋_GB2312" w:cs="Times New Roman"/>
          <w:color w:val="auto"/>
          <w:sz w:val="32"/>
          <w:szCs w:val="32"/>
          <w:highlight w:val="none"/>
        </w:rPr>
        <w:t>.卫生健康（</w:t>
      </w:r>
      <w:r>
        <w:rPr>
          <w:rFonts w:hint="eastAsia" w:ascii="仿宋_GB2312" w:eastAsia="仿宋_GB2312" w:cs="Times New Roman"/>
          <w:color w:val="auto"/>
          <w:sz w:val="32"/>
          <w:szCs w:val="32"/>
          <w:highlight w:val="none"/>
          <w:lang w:val="en-US" w:eastAsia="zh-CN"/>
        </w:rPr>
        <w:t>210</w:t>
      </w:r>
      <w:r>
        <w:rPr>
          <w:rFonts w:hint="eastAsia" w:ascii="仿宋_GB2312" w:eastAsia="仿宋_GB2312" w:cs="Times New Roman"/>
          <w:color w:val="auto"/>
          <w:sz w:val="32"/>
          <w:szCs w:val="32"/>
          <w:highlight w:val="none"/>
        </w:rPr>
        <w:t>）行政事业单位医疗（</w:t>
      </w:r>
      <w:r>
        <w:rPr>
          <w:rFonts w:hint="eastAsia" w:ascii="仿宋_GB2312" w:eastAsia="仿宋_GB2312" w:cs="Times New Roman"/>
          <w:color w:val="auto"/>
          <w:sz w:val="32"/>
          <w:szCs w:val="32"/>
          <w:highlight w:val="none"/>
          <w:lang w:val="en-US" w:eastAsia="zh-CN"/>
        </w:rPr>
        <w:t>11</w:t>
      </w:r>
      <w:r>
        <w:rPr>
          <w:rFonts w:hint="eastAsia" w:ascii="仿宋_GB2312" w:eastAsia="仿宋_GB2312" w:cs="Times New Roman"/>
          <w:color w:val="auto"/>
          <w:sz w:val="32"/>
          <w:szCs w:val="32"/>
          <w:highlight w:val="none"/>
        </w:rPr>
        <w:t>）公务员医疗补助（</w:t>
      </w:r>
      <w:r>
        <w:rPr>
          <w:rFonts w:hint="eastAsia" w:ascii="仿宋_GB2312" w:eastAsia="仿宋_GB2312" w:cs="Times New Roman"/>
          <w:color w:val="auto"/>
          <w:sz w:val="32"/>
          <w:szCs w:val="32"/>
          <w:highlight w:val="none"/>
          <w:lang w:val="en-US" w:eastAsia="zh-CN"/>
        </w:rPr>
        <w:t>03</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反映财政部门安排的公务员医疗补助经费</w:t>
      </w:r>
      <w:r>
        <w:rPr>
          <w:rFonts w:hint="eastAsia" w:ascii="仿宋_GB2312" w:eastAsia="仿宋_GB2312" w:cs="Times New Roman"/>
          <w:color w:val="auto"/>
          <w:sz w:val="32"/>
          <w:szCs w:val="32"/>
          <w:highlight w:val="none"/>
        </w:rPr>
        <w:t>。</w:t>
      </w:r>
    </w:p>
    <w:p w14:paraId="57C36888">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eastAsia="仿宋_GB2312" w:cs="仿宋"/>
          <w:color w:val="auto"/>
          <w:kern w:val="0"/>
          <w:sz w:val="32"/>
          <w:szCs w:val="32"/>
          <w:highlight w:val="none"/>
          <w:lang w:val="en-US" w:eastAsia="zh-CN" w:bidi="ar-SA"/>
        </w:rPr>
        <w:t>21</w:t>
      </w:r>
      <w:r>
        <w:rPr>
          <w:rFonts w:hint="eastAsia" w:ascii="仿宋_GB2312" w:hAnsi="Calibri" w:eastAsia="仿宋_GB2312" w:cs="仿宋"/>
          <w:color w:val="auto"/>
          <w:kern w:val="0"/>
          <w:sz w:val="32"/>
          <w:szCs w:val="32"/>
          <w:highlight w:val="none"/>
          <w:lang w:val="en-US" w:eastAsia="zh-CN" w:bidi="ar-SA"/>
        </w:rPr>
        <w:t>.住房保障（221）住房改革（02）住房公积金（01）：反映行政事业单位按人力资源和社会保障部、财政部规定的基本工资和津贴补贴以及规定比例为职工缴纳的住房公积金。</w:t>
      </w:r>
    </w:p>
    <w:p w14:paraId="60FDE512">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76190CB9">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23</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409DB75E">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0FCB590F">
      <w:pPr>
        <w:pStyle w:val="26"/>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154F82F">
      <w:pPr>
        <w:pStyle w:val="26"/>
        <w:spacing w:line="560" w:lineRule="exact"/>
        <w:ind w:firstLine="640" w:firstLineChars="200"/>
        <w:rPr>
          <w:rFonts w:ascii="仿宋" w:hAnsi="仿宋" w:eastAsia="仿宋"/>
          <w:b/>
          <w:color w:val="auto"/>
          <w:sz w:val="32"/>
          <w:szCs w:val="32"/>
          <w:highlight w:val="none"/>
        </w:rPr>
      </w:pPr>
      <w:r>
        <w:rPr>
          <w:rFonts w:hint="eastAsia" w:ascii="仿宋_GB2312" w:eastAsia="仿宋_GB2312"/>
          <w:color w:val="auto"/>
          <w:sz w:val="32"/>
          <w:szCs w:val="32"/>
          <w:highlight w:val="none"/>
          <w:lang w:val="en-US" w:eastAsia="zh-CN"/>
        </w:rPr>
        <w:t>25</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B179B77">
      <w:pPr>
        <w:spacing w:line="600" w:lineRule="exact"/>
        <w:jc w:val="center"/>
        <w:outlineLvl w:val="0"/>
        <w:rPr>
          <w:rStyle w:val="20"/>
          <w:rFonts w:ascii="黑体" w:hAnsi="黑体" w:eastAsia="黑体"/>
          <w:b w:val="0"/>
          <w:color w:val="auto"/>
          <w:highlight w:val="none"/>
        </w:rPr>
      </w:pPr>
      <w:r>
        <w:rPr>
          <w:rFonts w:ascii="宋体"/>
          <w:b/>
          <w:color w:val="auto"/>
          <w:sz w:val="44"/>
          <w:szCs w:val="44"/>
          <w:highlight w:val="none"/>
        </w:rPr>
        <w:br w:type="page"/>
      </w:r>
    </w:p>
    <w:p w14:paraId="63757C14">
      <w:pPr>
        <w:keepNext w:val="0"/>
        <w:keepLines w:val="0"/>
        <w:pageBreakBefore w:val="0"/>
        <w:kinsoku/>
        <w:wordWrap/>
        <w:overflowPunct/>
        <w:topLinePunct w:val="0"/>
        <w:autoSpaceDE/>
        <w:autoSpaceDN/>
        <w:bidi w:val="0"/>
        <w:spacing w:line="572" w:lineRule="exact"/>
        <w:jc w:val="left"/>
        <w:textAlignment w:val="auto"/>
        <w:outlineLvl w:val="9"/>
        <w:rPr>
          <w:rFonts w:ascii="仿宋_GB2312" w:hAnsi="仿宋_GB2312" w:eastAsia="仿宋_GB2312" w:cs="仿宋_GB2312"/>
          <w:color w:val="auto"/>
          <w:sz w:val="32"/>
          <w:szCs w:val="32"/>
          <w:highlight w:val="none"/>
        </w:rPr>
        <w:sectPr>
          <w:footerReference r:id="rId4" w:type="default"/>
          <w:pgSz w:w="11906" w:h="16838"/>
          <w:pgMar w:top="1440" w:right="1800" w:bottom="1440" w:left="1800" w:header="720" w:footer="720" w:gutter="0"/>
          <w:pgNumType w:fmt="decimal" w:start="1"/>
          <w:cols w:space="720" w:num="1"/>
          <w:docGrid w:type="lines" w:linePitch="312" w:charSpace="0"/>
        </w:sectPr>
      </w:pPr>
    </w:p>
    <w:p w14:paraId="1AA7AC14">
      <w:pPr>
        <w:pStyle w:val="18"/>
        <w:numPr>
          <w:ilvl w:val="0"/>
          <w:numId w:val="2"/>
        </w:numPr>
        <w:jc w:val="center"/>
        <w:rPr>
          <w:rFonts w:hint="eastAsia" w:ascii="黑体" w:hAnsi="黑体" w:eastAsia="黑体" w:cs="Times New Roman"/>
          <w:color w:val="auto"/>
          <w:kern w:val="2"/>
          <w:sz w:val="44"/>
          <w:szCs w:val="44"/>
          <w:highlight w:val="none"/>
          <w:lang w:val="en-US" w:eastAsia="zh-CN" w:bidi="ar-SA"/>
        </w:rPr>
      </w:pPr>
      <w:r>
        <w:rPr>
          <w:rFonts w:hint="eastAsia" w:ascii="黑体" w:hAnsi="黑体" w:eastAsia="黑体" w:cs="Times New Roman"/>
          <w:color w:val="auto"/>
          <w:kern w:val="2"/>
          <w:sz w:val="44"/>
          <w:szCs w:val="44"/>
          <w:highlight w:val="none"/>
          <w:lang w:val="en-US" w:eastAsia="zh-CN" w:bidi="ar-SA"/>
        </w:rPr>
        <w:t xml:space="preserve"> 附件</w:t>
      </w:r>
    </w:p>
    <w:p w14:paraId="4AB03BDF">
      <w:pPr>
        <w:spacing w:after="0"/>
        <w:jc w:val="left"/>
        <w:rPr>
          <w:rFonts w:hint="eastAsia" w:ascii="黑体" w:eastAsia="黑体"/>
          <w:sz w:val="18"/>
        </w:rPr>
      </w:pPr>
    </w:p>
    <w:tbl>
      <w:tblPr>
        <w:tblStyle w:val="15"/>
        <w:tblW w:w="0" w:type="auto"/>
        <w:tblInd w:w="1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8"/>
        <w:gridCol w:w="2245"/>
        <w:gridCol w:w="1941"/>
        <w:gridCol w:w="2476"/>
        <w:gridCol w:w="570"/>
        <w:gridCol w:w="1834"/>
        <w:gridCol w:w="571"/>
        <w:gridCol w:w="1193"/>
        <w:gridCol w:w="552"/>
        <w:gridCol w:w="499"/>
        <w:gridCol w:w="2799"/>
      </w:tblGrid>
      <w:tr w14:paraId="04C75F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15428" w:type="dxa"/>
            <w:gridSpan w:val="11"/>
            <w:vAlign w:val="center"/>
          </w:tcPr>
          <w:p w14:paraId="3E5DC412">
            <w:pPr>
              <w:keepNext w:val="0"/>
              <w:keepLines w:val="0"/>
              <w:widowControl/>
              <w:suppressLineNumbers w:val="0"/>
              <w:spacing w:before="0" w:beforeAutospacing="0" w:after="0" w:afterAutospacing="0"/>
              <w:ind w:left="0" w:right="0"/>
              <w:jc w:val="center"/>
              <w:textAlignment w:val="center"/>
              <w:rPr>
                <w:rFonts w:hint="eastAsia" w:ascii="黑体" w:eastAsia="黑体"/>
                <w:b/>
                <w:sz w:val="30"/>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4AEC9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2993" w:type="dxa"/>
            <w:gridSpan w:val="2"/>
            <w:vAlign w:val="center"/>
          </w:tcPr>
          <w:p w14:paraId="79E035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项目名称</w:t>
            </w:r>
          </w:p>
        </w:tc>
        <w:tc>
          <w:tcPr>
            <w:tcW w:w="12435" w:type="dxa"/>
            <w:gridSpan w:val="9"/>
            <w:vAlign w:val="center"/>
          </w:tcPr>
          <w:p w14:paraId="7FAB9D4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51320021T000000048817-民族立法经费</w:t>
            </w:r>
          </w:p>
        </w:tc>
      </w:tr>
      <w:tr w14:paraId="14502F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5" w:hRule="atLeast"/>
        </w:trPr>
        <w:tc>
          <w:tcPr>
            <w:tcW w:w="2993" w:type="dxa"/>
            <w:gridSpan w:val="2"/>
            <w:vAlign w:val="center"/>
          </w:tcPr>
          <w:p w14:paraId="32E814D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主管部门</w:t>
            </w:r>
          </w:p>
        </w:tc>
        <w:tc>
          <w:tcPr>
            <w:tcW w:w="7392" w:type="dxa"/>
            <w:gridSpan w:val="5"/>
            <w:vAlign w:val="center"/>
          </w:tcPr>
          <w:p w14:paraId="559CE132">
            <w:pPr>
              <w:keepNext w:val="0"/>
              <w:keepLines w:val="0"/>
              <w:widowControl/>
              <w:suppressLineNumbers w:val="0"/>
              <w:spacing w:before="0" w:beforeAutospacing="0" w:after="0" w:afterAutospacing="0"/>
              <w:ind w:left="0" w:right="0"/>
              <w:jc w:val="left"/>
              <w:textAlignment w:val="center"/>
              <w:rPr>
                <w:rFonts w:hint="default"/>
              </w:rPr>
            </w:pPr>
            <w:r>
              <w:rPr>
                <w:rFonts w:hint="default" w:ascii="宋体" w:hAnsi="宋体" w:eastAsia="宋体" w:cs="宋体"/>
                <w:i w:val="0"/>
                <w:iCs w:val="0"/>
                <w:color w:val="000000"/>
                <w:kern w:val="0"/>
                <w:sz w:val="18"/>
                <w:szCs w:val="18"/>
                <w:u w:val="none"/>
                <w:lang w:val="en-US" w:eastAsia="zh-CN" w:bidi="ar"/>
              </w:rPr>
              <w:t>州人大办公室部门</w:t>
            </w:r>
          </w:p>
        </w:tc>
        <w:tc>
          <w:tcPr>
            <w:tcW w:w="1193" w:type="dxa"/>
            <w:vAlign w:val="center"/>
          </w:tcPr>
          <w:p w14:paraId="6DC81AA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2"/>
                <w:sz w:val="16"/>
                <w:szCs w:val="24"/>
                <w:lang w:val="en-US" w:eastAsia="zh-CN" w:bidi="ar-SA"/>
              </w:rPr>
            </w:pPr>
            <w:r>
              <w:rPr>
                <w:rFonts w:hint="eastAsia" w:ascii="黑体" w:hAnsi="黑体" w:eastAsia="黑体" w:cs="黑体"/>
                <w:i w:val="0"/>
                <w:iCs w:val="0"/>
                <w:color w:val="000000"/>
                <w:kern w:val="0"/>
                <w:sz w:val="18"/>
                <w:szCs w:val="18"/>
                <w:u w:val="none"/>
                <w:lang w:val="en-US" w:eastAsia="zh-CN" w:bidi="ar"/>
              </w:rPr>
              <w:t>实施单位 （盖章）</w:t>
            </w:r>
          </w:p>
        </w:tc>
        <w:tc>
          <w:tcPr>
            <w:tcW w:w="3850" w:type="dxa"/>
            <w:gridSpan w:val="3"/>
            <w:vAlign w:val="center"/>
          </w:tcPr>
          <w:p w14:paraId="545468DC">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州人大办公室</w:t>
            </w:r>
          </w:p>
        </w:tc>
      </w:tr>
      <w:tr w14:paraId="62D332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748" w:type="dxa"/>
            <w:vMerge w:val="restart"/>
            <w:vAlign w:val="center"/>
          </w:tcPr>
          <w:p w14:paraId="7F2FB1FC">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项目基本情况</w:t>
            </w:r>
          </w:p>
        </w:tc>
        <w:tc>
          <w:tcPr>
            <w:tcW w:w="2245" w:type="dxa"/>
            <w:vMerge w:val="restart"/>
            <w:vAlign w:val="center"/>
          </w:tcPr>
          <w:p w14:paraId="705FC5F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7392" w:type="dxa"/>
            <w:gridSpan w:val="5"/>
            <w:vAlign w:val="center"/>
          </w:tcPr>
          <w:p w14:paraId="1C56B2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项目年度目标</w:t>
            </w:r>
          </w:p>
        </w:tc>
        <w:tc>
          <w:tcPr>
            <w:tcW w:w="5043" w:type="dxa"/>
            <w:gridSpan w:val="4"/>
            <w:vAlign w:val="center"/>
          </w:tcPr>
          <w:p w14:paraId="14AEC8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24"/>
                <w:lang w:val="en-US" w:eastAsia="zh-CN" w:bidi="ar-SA"/>
              </w:rPr>
            </w:pPr>
            <w:r>
              <w:rPr>
                <w:rFonts w:hint="eastAsia" w:ascii="黑体" w:hAnsi="黑体" w:eastAsia="黑体" w:cs="黑体"/>
                <w:i w:val="0"/>
                <w:iCs w:val="0"/>
                <w:color w:val="000000"/>
                <w:kern w:val="0"/>
                <w:sz w:val="18"/>
                <w:szCs w:val="18"/>
                <w:u w:val="none"/>
                <w:lang w:val="en-US" w:eastAsia="zh-CN" w:bidi="ar"/>
              </w:rPr>
              <w:t>年度目标完成情况</w:t>
            </w:r>
          </w:p>
        </w:tc>
      </w:tr>
      <w:tr w14:paraId="292110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9" w:hRule="atLeast"/>
        </w:trPr>
        <w:tc>
          <w:tcPr>
            <w:tcW w:w="748" w:type="dxa"/>
            <w:vMerge w:val="continue"/>
            <w:tcBorders>
              <w:top w:val="nil"/>
            </w:tcBorders>
            <w:vAlign w:val="center"/>
          </w:tcPr>
          <w:p w14:paraId="487E5F36">
            <w:pPr>
              <w:keepNext w:val="0"/>
              <w:keepLines w:val="0"/>
              <w:suppressLineNumbers w:val="0"/>
              <w:spacing w:before="0" w:beforeAutospacing="0" w:after="0" w:afterAutospacing="0"/>
              <w:ind w:left="0" w:right="0"/>
              <w:rPr>
                <w:rFonts w:hint="default"/>
                <w:sz w:val="2"/>
                <w:szCs w:val="2"/>
              </w:rPr>
            </w:pPr>
          </w:p>
        </w:tc>
        <w:tc>
          <w:tcPr>
            <w:tcW w:w="2245" w:type="dxa"/>
            <w:vMerge w:val="continue"/>
            <w:tcBorders>
              <w:top w:val="nil"/>
            </w:tcBorders>
            <w:vAlign w:val="center"/>
          </w:tcPr>
          <w:p w14:paraId="54D4AAFE">
            <w:pPr>
              <w:keepNext w:val="0"/>
              <w:keepLines w:val="0"/>
              <w:suppressLineNumbers w:val="0"/>
              <w:spacing w:before="0" w:beforeAutospacing="0" w:after="0" w:afterAutospacing="0"/>
              <w:ind w:left="0" w:right="0"/>
              <w:rPr>
                <w:rFonts w:hint="default" w:ascii="宋体" w:hAnsi="宋体" w:eastAsia="宋体" w:cs="宋体"/>
                <w:kern w:val="2"/>
                <w:sz w:val="16"/>
                <w:szCs w:val="24"/>
                <w:lang w:val="en-US" w:eastAsia="zh-CN" w:bidi="ar-SA"/>
              </w:rPr>
            </w:pPr>
          </w:p>
        </w:tc>
        <w:tc>
          <w:tcPr>
            <w:tcW w:w="7392" w:type="dxa"/>
            <w:gridSpan w:val="5"/>
            <w:vAlign w:val="center"/>
          </w:tcPr>
          <w:p w14:paraId="2E821DFC">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color w:val="auto"/>
                <w:kern w:val="2"/>
                <w:sz w:val="21"/>
                <w:szCs w:val="21"/>
                <w:lang w:val="en-US" w:eastAsia="zh-CN" w:bidi="ar-SA"/>
              </w:rPr>
            </w:pPr>
            <w:r>
              <w:rPr>
                <w:rFonts w:hint="default" w:ascii="宋体" w:hAnsi="宋体" w:eastAsia="宋体" w:cs="宋体"/>
                <w:i w:val="0"/>
                <w:iCs w:val="0"/>
                <w:color w:val="000000"/>
                <w:kern w:val="0"/>
                <w:sz w:val="18"/>
                <w:szCs w:val="18"/>
                <w:u w:val="none"/>
                <w:lang w:val="en-US" w:eastAsia="zh-CN" w:bidi="ar"/>
              </w:rPr>
              <w:t>报省人大常委会审查批准法规2件，即：《阿坝藏族羌族自治州实施〈四川省旅游条例〉的变通规定（修订）》、《阿坝藏族羌族自治州气象条例》，修改法规4件，即：修改《阿坝藏族羌族自治州湿地保护条例》《阿坝藏族羌族自治州水资源管理条例》《阿坝藏族羌族自治州野生动物植物保护条例》《阿坝藏族羌族自治州实施〈四川省《中华人民共和国草原法》实施办法〉的变通规定》</w:t>
            </w:r>
          </w:p>
        </w:tc>
        <w:tc>
          <w:tcPr>
            <w:tcW w:w="5043" w:type="dxa"/>
            <w:gridSpan w:val="4"/>
            <w:vAlign w:val="center"/>
          </w:tcPr>
          <w:p w14:paraId="01FD00E4">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color w:val="auto"/>
                <w:kern w:val="2"/>
                <w:sz w:val="21"/>
                <w:szCs w:val="21"/>
                <w:lang w:val="en-US" w:eastAsia="zh-CN" w:bidi="ar-SA"/>
              </w:rPr>
            </w:pPr>
            <w:r>
              <w:rPr>
                <w:rFonts w:hint="eastAsia" w:ascii="黑体" w:hAnsi="黑体" w:eastAsia="黑体" w:cs="黑体"/>
                <w:i w:val="0"/>
                <w:iCs w:val="0"/>
                <w:color w:val="000000"/>
                <w:kern w:val="0"/>
                <w:sz w:val="18"/>
                <w:szCs w:val="18"/>
                <w:u w:val="none"/>
                <w:lang w:val="en-US" w:eastAsia="zh-CN" w:bidi="ar"/>
              </w:rPr>
              <w:t>阿坝州推进立法工作，完成多项法规任务，建立5个基层立法点，全年完成州人民政府报送的1件规章、3件行政规范性文件。</w:t>
            </w:r>
          </w:p>
        </w:tc>
      </w:tr>
      <w:tr w14:paraId="17EF7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748" w:type="dxa"/>
            <w:vMerge w:val="continue"/>
            <w:tcBorders>
              <w:top w:val="nil"/>
            </w:tcBorders>
            <w:vAlign w:val="center"/>
          </w:tcPr>
          <w:p w14:paraId="74F1F3AD">
            <w:pPr>
              <w:keepNext w:val="0"/>
              <w:keepLines w:val="0"/>
              <w:suppressLineNumbers w:val="0"/>
              <w:spacing w:before="0" w:beforeAutospacing="0" w:after="0" w:afterAutospacing="0"/>
              <w:ind w:left="0" w:right="0"/>
              <w:rPr>
                <w:rFonts w:hint="default"/>
                <w:sz w:val="2"/>
                <w:szCs w:val="2"/>
              </w:rPr>
            </w:pPr>
          </w:p>
        </w:tc>
        <w:tc>
          <w:tcPr>
            <w:tcW w:w="2245" w:type="dxa"/>
            <w:vAlign w:val="center"/>
          </w:tcPr>
          <w:p w14:paraId="339F2BD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435" w:type="dxa"/>
            <w:gridSpan w:val="9"/>
            <w:vAlign w:val="center"/>
          </w:tcPr>
          <w:p w14:paraId="474367E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阿坝州完善立法格局，推进多项法规立改废与审查，新建基层立法联系点8个，完成《阿坝藏族羌族自治州实施〈四川省旅游条例〉的变通规定》《阿坝藏族羌族自治州湿地保护条例》修订案和《阿坝藏族羌族自治州气象条例》报批工作并颁布实施，推进《阿坝藏族羌族自治州生态环境保护条例》《阿坝藏族羌族自治州水资源管理条例》《阿坝藏族羌族自治州实施〈四川省《中华人民共和国草原法》实施办法〉的变通规定》等法规修改和《阿坝藏族羌族自治州野生动物植物保护条例》废止工作在《中华人民共和国国家公园法（草案）》《四川省世界遗产保护条例（修订草案）》等25件全国、省法律法规草案意见征求中反映立法诉求，提出意见建议21条。组织开展2024年宪法宣传周、民族团结进步月等系列宪法法律宣传活动，严格执行任前法律知识考试和宪法宣誓制度。全年36人次参加任前考试、43人次在常委会上向宪法宣誓。全年完成州人民政府报送的1件规章、3件行政规范性文件，州人民检察院报送的1件规范性文件，各县（市）人大及其常委会报送的65件决定决议的备案审查。</w:t>
            </w:r>
          </w:p>
        </w:tc>
      </w:tr>
      <w:tr w14:paraId="63776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748" w:type="dxa"/>
            <w:vMerge w:val="restart"/>
            <w:vAlign w:val="center"/>
          </w:tcPr>
          <w:p w14:paraId="041E9972">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预算执行情况（10分）</w:t>
            </w:r>
          </w:p>
        </w:tc>
        <w:tc>
          <w:tcPr>
            <w:tcW w:w="2245" w:type="dxa"/>
            <w:vAlign w:val="center"/>
          </w:tcPr>
          <w:p w14:paraId="258205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年度预算数（万元）</w:t>
            </w:r>
          </w:p>
        </w:tc>
        <w:tc>
          <w:tcPr>
            <w:tcW w:w="1941" w:type="dxa"/>
            <w:vAlign w:val="center"/>
          </w:tcPr>
          <w:p w14:paraId="53C4F7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年初预算</w:t>
            </w:r>
          </w:p>
        </w:tc>
        <w:tc>
          <w:tcPr>
            <w:tcW w:w="2476" w:type="dxa"/>
            <w:vAlign w:val="center"/>
          </w:tcPr>
          <w:p w14:paraId="02F7C3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调整后预算数</w:t>
            </w:r>
          </w:p>
        </w:tc>
        <w:tc>
          <w:tcPr>
            <w:tcW w:w="2975" w:type="dxa"/>
            <w:gridSpan w:val="3"/>
            <w:vAlign w:val="center"/>
          </w:tcPr>
          <w:p w14:paraId="7DEBF6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预算执行数</w:t>
            </w:r>
          </w:p>
        </w:tc>
        <w:tc>
          <w:tcPr>
            <w:tcW w:w="1193" w:type="dxa"/>
            <w:vAlign w:val="center"/>
          </w:tcPr>
          <w:p w14:paraId="3B401C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预算执行率</w:t>
            </w:r>
          </w:p>
        </w:tc>
        <w:tc>
          <w:tcPr>
            <w:tcW w:w="552" w:type="dxa"/>
            <w:vAlign w:val="center"/>
          </w:tcPr>
          <w:p w14:paraId="7CC52E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权重</w:t>
            </w:r>
          </w:p>
        </w:tc>
        <w:tc>
          <w:tcPr>
            <w:tcW w:w="499" w:type="dxa"/>
            <w:vAlign w:val="center"/>
          </w:tcPr>
          <w:p w14:paraId="45159A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得分</w:t>
            </w:r>
          </w:p>
        </w:tc>
        <w:tc>
          <w:tcPr>
            <w:tcW w:w="2799" w:type="dxa"/>
            <w:vAlign w:val="center"/>
          </w:tcPr>
          <w:p w14:paraId="02A63731">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原因</w:t>
            </w:r>
          </w:p>
        </w:tc>
      </w:tr>
      <w:tr w14:paraId="2AFBD6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2" w:hRule="atLeast"/>
        </w:trPr>
        <w:tc>
          <w:tcPr>
            <w:tcW w:w="748" w:type="dxa"/>
            <w:vMerge w:val="continue"/>
            <w:tcBorders>
              <w:top w:val="nil"/>
            </w:tcBorders>
            <w:vAlign w:val="center"/>
          </w:tcPr>
          <w:p w14:paraId="476424E6">
            <w:pPr>
              <w:keepNext w:val="0"/>
              <w:keepLines w:val="0"/>
              <w:suppressLineNumbers w:val="0"/>
              <w:spacing w:before="0" w:beforeAutospacing="0" w:after="0" w:afterAutospacing="0"/>
              <w:ind w:left="0" w:right="0"/>
              <w:jc w:val="center"/>
              <w:rPr>
                <w:rFonts w:hint="default"/>
                <w:sz w:val="2"/>
                <w:szCs w:val="2"/>
              </w:rPr>
            </w:pPr>
          </w:p>
        </w:tc>
        <w:tc>
          <w:tcPr>
            <w:tcW w:w="2245" w:type="dxa"/>
            <w:vAlign w:val="center"/>
          </w:tcPr>
          <w:p w14:paraId="480516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总额</w:t>
            </w:r>
          </w:p>
        </w:tc>
        <w:tc>
          <w:tcPr>
            <w:tcW w:w="1941" w:type="dxa"/>
            <w:vAlign w:val="center"/>
          </w:tcPr>
          <w:p w14:paraId="44D112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30.00</w:t>
            </w:r>
          </w:p>
        </w:tc>
        <w:tc>
          <w:tcPr>
            <w:tcW w:w="2476" w:type="dxa"/>
            <w:vAlign w:val="center"/>
          </w:tcPr>
          <w:p w14:paraId="7013FF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30.00</w:t>
            </w:r>
          </w:p>
        </w:tc>
        <w:tc>
          <w:tcPr>
            <w:tcW w:w="2975" w:type="dxa"/>
            <w:gridSpan w:val="3"/>
            <w:vAlign w:val="center"/>
          </w:tcPr>
          <w:p w14:paraId="2B92B9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30.00</w:t>
            </w:r>
          </w:p>
        </w:tc>
        <w:tc>
          <w:tcPr>
            <w:tcW w:w="1193" w:type="dxa"/>
            <w:vAlign w:val="center"/>
          </w:tcPr>
          <w:p w14:paraId="5F0955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100.00%</w:t>
            </w:r>
          </w:p>
        </w:tc>
        <w:tc>
          <w:tcPr>
            <w:tcW w:w="552" w:type="dxa"/>
            <w:vAlign w:val="center"/>
          </w:tcPr>
          <w:p w14:paraId="1D9449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10</w:t>
            </w:r>
          </w:p>
        </w:tc>
        <w:tc>
          <w:tcPr>
            <w:tcW w:w="499" w:type="dxa"/>
            <w:vAlign w:val="center"/>
          </w:tcPr>
          <w:p w14:paraId="15F3D7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10</w:t>
            </w:r>
          </w:p>
        </w:tc>
        <w:tc>
          <w:tcPr>
            <w:tcW w:w="2799" w:type="dxa"/>
            <w:vMerge w:val="restart"/>
            <w:vAlign w:val="center"/>
          </w:tcPr>
          <w:p w14:paraId="54C41F2C">
            <w:pPr>
              <w:keepNext w:val="0"/>
              <w:keepLines w:val="0"/>
              <w:widowControl/>
              <w:suppressLineNumbers w:val="0"/>
              <w:spacing w:before="0" w:beforeAutospacing="0" w:after="0" w:afterAutospacing="0"/>
              <w:ind w:left="0" w:right="0"/>
              <w:jc w:val="left"/>
              <w:textAlignment w:val="center"/>
              <w:rPr>
                <w:rFonts w:hint="default"/>
              </w:rPr>
            </w:pPr>
            <w:r>
              <w:rPr>
                <w:rFonts w:hint="eastAsia" w:ascii="黑体" w:hAnsi="黑体" w:eastAsia="黑体" w:cs="黑体"/>
                <w:i/>
                <w:iCs/>
                <w:color w:val="000000"/>
                <w:kern w:val="0"/>
                <w:sz w:val="18"/>
                <w:szCs w:val="18"/>
                <w:u w:val="none"/>
                <w:lang w:val="en-US" w:eastAsia="zh-CN" w:bidi="ar"/>
              </w:rPr>
              <w:t>预算执行率为100%.</w:t>
            </w:r>
          </w:p>
        </w:tc>
      </w:tr>
      <w:tr w14:paraId="3A5783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748" w:type="dxa"/>
            <w:vMerge w:val="continue"/>
            <w:tcBorders>
              <w:top w:val="nil"/>
            </w:tcBorders>
            <w:vAlign w:val="center"/>
          </w:tcPr>
          <w:p w14:paraId="03C18330">
            <w:pPr>
              <w:keepNext w:val="0"/>
              <w:keepLines w:val="0"/>
              <w:suppressLineNumbers w:val="0"/>
              <w:spacing w:before="0" w:beforeAutospacing="0" w:after="0" w:afterAutospacing="0"/>
              <w:ind w:left="0" w:right="0"/>
              <w:jc w:val="center"/>
              <w:rPr>
                <w:rFonts w:hint="default"/>
                <w:sz w:val="2"/>
                <w:szCs w:val="2"/>
              </w:rPr>
            </w:pPr>
          </w:p>
        </w:tc>
        <w:tc>
          <w:tcPr>
            <w:tcW w:w="2245" w:type="dxa"/>
            <w:vAlign w:val="center"/>
          </w:tcPr>
          <w:p w14:paraId="468ACE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其中：财政资金</w:t>
            </w:r>
          </w:p>
        </w:tc>
        <w:tc>
          <w:tcPr>
            <w:tcW w:w="1941" w:type="dxa"/>
            <w:vAlign w:val="center"/>
          </w:tcPr>
          <w:p w14:paraId="3C31E1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30.00</w:t>
            </w:r>
          </w:p>
        </w:tc>
        <w:tc>
          <w:tcPr>
            <w:tcW w:w="2476" w:type="dxa"/>
            <w:vAlign w:val="center"/>
          </w:tcPr>
          <w:p w14:paraId="31D11D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30.00</w:t>
            </w:r>
          </w:p>
        </w:tc>
        <w:tc>
          <w:tcPr>
            <w:tcW w:w="2975" w:type="dxa"/>
            <w:gridSpan w:val="3"/>
            <w:vAlign w:val="center"/>
          </w:tcPr>
          <w:p w14:paraId="526088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30.00</w:t>
            </w:r>
          </w:p>
        </w:tc>
        <w:tc>
          <w:tcPr>
            <w:tcW w:w="1193" w:type="dxa"/>
            <w:vAlign w:val="center"/>
          </w:tcPr>
          <w:p w14:paraId="1D810E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100.00%</w:t>
            </w:r>
          </w:p>
        </w:tc>
        <w:tc>
          <w:tcPr>
            <w:tcW w:w="552" w:type="dxa"/>
            <w:vAlign w:val="center"/>
          </w:tcPr>
          <w:p w14:paraId="0C5358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499" w:type="dxa"/>
            <w:vAlign w:val="center"/>
          </w:tcPr>
          <w:p w14:paraId="0EF537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2799" w:type="dxa"/>
            <w:vMerge w:val="continue"/>
            <w:vAlign w:val="center"/>
          </w:tcPr>
          <w:p w14:paraId="0E17F2BB">
            <w:pPr>
              <w:keepNext w:val="0"/>
              <w:keepLines w:val="0"/>
              <w:suppressLineNumbers w:val="0"/>
              <w:spacing w:before="0" w:beforeAutospacing="0" w:after="0" w:afterAutospacing="0"/>
              <w:ind w:left="0" w:right="0"/>
              <w:rPr>
                <w:rFonts w:hint="default"/>
              </w:rPr>
            </w:pPr>
          </w:p>
        </w:tc>
      </w:tr>
      <w:tr w14:paraId="58548B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48" w:type="dxa"/>
            <w:vMerge w:val="continue"/>
            <w:tcBorders>
              <w:top w:val="nil"/>
            </w:tcBorders>
            <w:vAlign w:val="center"/>
          </w:tcPr>
          <w:p w14:paraId="016B1A0A">
            <w:pPr>
              <w:keepNext w:val="0"/>
              <w:keepLines w:val="0"/>
              <w:suppressLineNumbers w:val="0"/>
              <w:spacing w:before="0" w:beforeAutospacing="0" w:after="0" w:afterAutospacing="0"/>
              <w:ind w:left="0" w:right="0"/>
              <w:jc w:val="center"/>
              <w:rPr>
                <w:rFonts w:hint="default"/>
                <w:sz w:val="2"/>
                <w:szCs w:val="2"/>
              </w:rPr>
            </w:pPr>
          </w:p>
        </w:tc>
        <w:tc>
          <w:tcPr>
            <w:tcW w:w="2245" w:type="dxa"/>
            <w:vAlign w:val="center"/>
          </w:tcPr>
          <w:p w14:paraId="5950F9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财政专户管理资金</w:t>
            </w:r>
          </w:p>
        </w:tc>
        <w:tc>
          <w:tcPr>
            <w:tcW w:w="1941" w:type="dxa"/>
            <w:vAlign w:val="center"/>
          </w:tcPr>
          <w:p w14:paraId="771EF6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0.00</w:t>
            </w:r>
          </w:p>
        </w:tc>
        <w:tc>
          <w:tcPr>
            <w:tcW w:w="2476" w:type="dxa"/>
            <w:vAlign w:val="center"/>
          </w:tcPr>
          <w:p w14:paraId="434E9F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0.00</w:t>
            </w:r>
          </w:p>
        </w:tc>
        <w:tc>
          <w:tcPr>
            <w:tcW w:w="2975" w:type="dxa"/>
            <w:gridSpan w:val="3"/>
            <w:vAlign w:val="center"/>
          </w:tcPr>
          <w:p w14:paraId="55F0E6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0.00</w:t>
            </w:r>
          </w:p>
        </w:tc>
        <w:tc>
          <w:tcPr>
            <w:tcW w:w="1193" w:type="dxa"/>
            <w:vAlign w:val="center"/>
          </w:tcPr>
          <w:p w14:paraId="6C288A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0.00%</w:t>
            </w:r>
          </w:p>
        </w:tc>
        <w:tc>
          <w:tcPr>
            <w:tcW w:w="552" w:type="dxa"/>
            <w:vAlign w:val="center"/>
          </w:tcPr>
          <w:p w14:paraId="391C3D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499" w:type="dxa"/>
            <w:vAlign w:val="center"/>
          </w:tcPr>
          <w:p w14:paraId="259587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2799" w:type="dxa"/>
            <w:vMerge w:val="continue"/>
            <w:vAlign w:val="center"/>
          </w:tcPr>
          <w:p w14:paraId="03B6069A">
            <w:pPr>
              <w:keepNext w:val="0"/>
              <w:keepLines w:val="0"/>
              <w:suppressLineNumbers w:val="0"/>
              <w:spacing w:before="0" w:beforeAutospacing="0" w:after="0" w:afterAutospacing="0"/>
              <w:ind w:left="0" w:right="0"/>
              <w:rPr>
                <w:rFonts w:hint="default"/>
              </w:rPr>
            </w:pPr>
          </w:p>
        </w:tc>
      </w:tr>
      <w:tr w14:paraId="3497C1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748" w:type="dxa"/>
            <w:vMerge w:val="continue"/>
            <w:tcBorders>
              <w:top w:val="nil"/>
            </w:tcBorders>
            <w:vAlign w:val="center"/>
          </w:tcPr>
          <w:p w14:paraId="3DE0157B">
            <w:pPr>
              <w:keepNext w:val="0"/>
              <w:keepLines w:val="0"/>
              <w:suppressLineNumbers w:val="0"/>
              <w:spacing w:before="0" w:beforeAutospacing="0" w:after="0" w:afterAutospacing="0"/>
              <w:ind w:left="0" w:right="0"/>
              <w:jc w:val="center"/>
              <w:rPr>
                <w:rFonts w:hint="default"/>
                <w:sz w:val="2"/>
                <w:szCs w:val="2"/>
              </w:rPr>
            </w:pPr>
          </w:p>
        </w:tc>
        <w:tc>
          <w:tcPr>
            <w:tcW w:w="2245" w:type="dxa"/>
            <w:vAlign w:val="center"/>
          </w:tcPr>
          <w:p w14:paraId="0E2E49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单位资金</w:t>
            </w:r>
          </w:p>
        </w:tc>
        <w:tc>
          <w:tcPr>
            <w:tcW w:w="1941" w:type="dxa"/>
            <w:vAlign w:val="center"/>
          </w:tcPr>
          <w:p w14:paraId="6D2CB3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0.00</w:t>
            </w:r>
          </w:p>
        </w:tc>
        <w:tc>
          <w:tcPr>
            <w:tcW w:w="2476" w:type="dxa"/>
            <w:vAlign w:val="center"/>
          </w:tcPr>
          <w:p w14:paraId="136609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0.00</w:t>
            </w:r>
          </w:p>
        </w:tc>
        <w:tc>
          <w:tcPr>
            <w:tcW w:w="2975" w:type="dxa"/>
            <w:gridSpan w:val="3"/>
            <w:vAlign w:val="center"/>
          </w:tcPr>
          <w:p w14:paraId="7D66A1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0.00</w:t>
            </w:r>
          </w:p>
        </w:tc>
        <w:tc>
          <w:tcPr>
            <w:tcW w:w="1193" w:type="dxa"/>
            <w:vAlign w:val="center"/>
          </w:tcPr>
          <w:p w14:paraId="375F69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0.00%</w:t>
            </w:r>
          </w:p>
        </w:tc>
        <w:tc>
          <w:tcPr>
            <w:tcW w:w="552" w:type="dxa"/>
            <w:vAlign w:val="center"/>
          </w:tcPr>
          <w:p w14:paraId="3B1942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499" w:type="dxa"/>
            <w:vAlign w:val="center"/>
          </w:tcPr>
          <w:p w14:paraId="0E3AA9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2799" w:type="dxa"/>
            <w:vMerge w:val="continue"/>
            <w:vAlign w:val="center"/>
          </w:tcPr>
          <w:p w14:paraId="024736DC">
            <w:pPr>
              <w:keepNext w:val="0"/>
              <w:keepLines w:val="0"/>
              <w:suppressLineNumbers w:val="0"/>
              <w:spacing w:before="0" w:beforeAutospacing="0" w:after="0" w:afterAutospacing="0"/>
              <w:ind w:left="0" w:right="0"/>
              <w:rPr>
                <w:rFonts w:hint="default"/>
              </w:rPr>
            </w:pPr>
          </w:p>
        </w:tc>
      </w:tr>
      <w:tr w14:paraId="3CECC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748" w:type="dxa"/>
            <w:vMerge w:val="continue"/>
            <w:tcBorders>
              <w:top w:val="nil"/>
            </w:tcBorders>
            <w:vAlign w:val="center"/>
          </w:tcPr>
          <w:p w14:paraId="1B1A512C">
            <w:pPr>
              <w:keepNext w:val="0"/>
              <w:keepLines w:val="0"/>
              <w:suppressLineNumbers w:val="0"/>
              <w:spacing w:before="0" w:beforeAutospacing="0" w:after="0" w:afterAutospacing="0"/>
              <w:ind w:left="0" w:right="0"/>
              <w:jc w:val="center"/>
              <w:rPr>
                <w:rFonts w:hint="default"/>
                <w:sz w:val="2"/>
                <w:szCs w:val="2"/>
              </w:rPr>
            </w:pPr>
          </w:p>
        </w:tc>
        <w:tc>
          <w:tcPr>
            <w:tcW w:w="2245" w:type="dxa"/>
            <w:vAlign w:val="center"/>
          </w:tcPr>
          <w:p w14:paraId="6574FA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其他资金</w:t>
            </w:r>
          </w:p>
        </w:tc>
        <w:tc>
          <w:tcPr>
            <w:tcW w:w="1941" w:type="dxa"/>
            <w:vAlign w:val="center"/>
          </w:tcPr>
          <w:p w14:paraId="28393385">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16"/>
                <w:szCs w:val="24"/>
                <w:lang w:val="en-US" w:eastAsia="zh-CN" w:bidi="ar-SA"/>
              </w:rPr>
            </w:pPr>
          </w:p>
        </w:tc>
        <w:tc>
          <w:tcPr>
            <w:tcW w:w="2476" w:type="dxa"/>
            <w:vAlign w:val="center"/>
          </w:tcPr>
          <w:p w14:paraId="7AD0BE5E">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16"/>
                <w:szCs w:val="24"/>
                <w:lang w:val="en-US" w:eastAsia="zh-CN" w:bidi="ar-SA"/>
              </w:rPr>
            </w:pPr>
          </w:p>
        </w:tc>
        <w:tc>
          <w:tcPr>
            <w:tcW w:w="2975" w:type="dxa"/>
            <w:gridSpan w:val="3"/>
            <w:vAlign w:val="center"/>
          </w:tcPr>
          <w:p w14:paraId="7886D6EB">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16"/>
                <w:szCs w:val="24"/>
                <w:lang w:val="en-US" w:eastAsia="zh-CN" w:bidi="ar-SA"/>
              </w:rPr>
            </w:pPr>
          </w:p>
        </w:tc>
        <w:tc>
          <w:tcPr>
            <w:tcW w:w="1193" w:type="dxa"/>
            <w:vAlign w:val="center"/>
          </w:tcPr>
          <w:p w14:paraId="3EDCDF61">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16"/>
                <w:szCs w:val="24"/>
                <w:lang w:val="en-US" w:eastAsia="zh-CN" w:bidi="ar-SA"/>
              </w:rPr>
            </w:pPr>
          </w:p>
        </w:tc>
        <w:tc>
          <w:tcPr>
            <w:tcW w:w="552" w:type="dxa"/>
            <w:vAlign w:val="center"/>
          </w:tcPr>
          <w:p w14:paraId="2EB9CB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499" w:type="dxa"/>
            <w:vAlign w:val="center"/>
          </w:tcPr>
          <w:p w14:paraId="52F2A7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2799" w:type="dxa"/>
            <w:vMerge w:val="continue"/>
            <w:vAlign w:val="center"/>
          </w:tcPr>
          <w:p w14:paraId="75377E38">
            <w:pPr>
              <w:keepNext w:val="0"/>
              <w:keepLines w:val="0"/>
              <w:suppressLineNumbers w:val="0"/>
              <w:spacing w:before="0" w:beforeAutospacing="0" w:after="0" w:afterAutospacing="0"/>
              <w:ind w:left="0" w:right="0"/>
              <w:rPr>
                <w:rFonts w:hint="default"/>
              </w:rPr>
            </w:pPr>
          </w:p>
        </w:tc>
      </w:tr>
      <w:tr w14:paraId="26ECC6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748" w:type="dxa"/>
            <w:vMerge w:val="restart"/>
            <w:vAlign w:val="center"/>
          </w:tcPr>
          <w:p w14:paraId="304DDE57">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绩效指标（90分）</w:t>
            </w:r>
          </w:p>
        </w:tc>
        <w:tc>
          <w:tcPr>
            <w:tcW w:w="2245" w:type="dxa"/>
            <w:vAlign w:val="center"/>
          </w:tcPr>
          <w:p w14:paraId="3AE034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一级指标</w:t>
            </w:r>
          </w:p>
        </w:tc>
        <w:tc>
          <w:tcPr>
            <w:tcW w:w="1941" w:type="dxa"/>
            <w:vAlign w:val="center"/>
          </w:tcPr>
          <w:p w14:paraId="43E3DC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二级指标</w:t>
            </w:r>
          </w:p>
        </w:tc>
        <w:tc>
          <w:tcPr>
            <w:tcW w:w="2476" w:type="dxa"/>
            <w:vAlign w:val="center"/>
          </w:tcPr>
          <w:p w14:paraId="7C2C70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三级指标</w:t>
            </w:r>
          </w:p>
        </w:tc>
        <w:tc>
          <w:tcPr>
            <w:tcW w:w="570" w:type="dxa"/>
            <w:vAlign w:val="center"/>
          </w:tcPr>
          <w:p w14:paraId="586D2B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指标性质</w:t>
            </w:r>
          </w:p>
        </w:tc>
        <w:tc>
          <w:tcPr>
            <w:tcW w:w="1834" w:type="dxa"/>
            <w:vAlign w:val="center"/>
          </w:tcPr>
          <w:p w14:paraId="5F3D1E83">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指标值</w:t>
            </w:r>
          </w:p>
        </w:tc>
        <w:tc>
          <w:tcPr>
            <w:tcW w:w="571" w:type="dxa"/>
            <w:vAlign w:val="center"/>
          </w:tcPr>
          <w:p w14:paraId="502F16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度量单位</w:t>
            </w:r>
          </w:p>
        </w:tc>
        <w:tc>
          <w:tcPr>
            <w:tcW w:w="1193" w:type="dxa"/>
            <w:vAlign w:val="center"/>
          </w:tcPr>
          <w:p w14:paraId="406429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完成值</w:t>
            </w:r>
          </w:p>
        </w:tc>
        <w:tc>
          <w:tcPr>
            <w:tcW w:w="552" w:type="dxa"/>
            <w:vAlign w:val="center"/>
          </w:tcPr>
          <w:p w14:paraId="6EE5D1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权重</w:t>
            </w:r>
          </w:p>
        </w:tc>
        <w:tc>
          <w:tcPr>
            <w:tcW w:w="499" w:type="dxa"/>
            <w:vAlign w:val="center"/>
          </w:tcPr>
          <w:p w14:paraId="041AB9D0">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得分</w:t>
            </w:r>
          </w:p>
        </w:tc>
        <w:tc>
          <w:tcPr>
            <w:tcW w:w="2799" w:type="dxa"/>
            <w:vAlign w:val="center"/>
          </w:tcPr>
          <w:p w14:paraId="050D5EB5">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未完成原因分析</w:t>
            </w:r>
          </w:p>
        </w:tc>
      </w:tr>
      <w:tr w14:paraId="1BE572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748" w:type="dxa"/>
            <w:vMerge w:val="continue"/>
            <w:tcBorders>
              <w:top w:val="nil"/>
            </w:tcBorders>
            <w:vAlign w:val="center"/>
          </w:tcPr>
          <w:p w14:paraId="4463C235">
            <w:pPr>
              <w:keepNext w:val="0"/>
              <w:keepLines w:val="0"/>
              <w:suppressLineNumbers w:val="0"/>
              <w:spacing w:before="0" w:beforeAutospacing="0" w:after="0" w:afterAutospacing="0"/>
              <w:ind w:left="0" w:right="0"/>
              <w:jc w:val="center"/>
              <w:rPr>
                <w:rFonts w:hint="default"/>
                <w:sz w:val="2"/>
                <w:szCs w:val="2"/>
              </w:rPr>
            </w:pPr>
          </w:p>
        </w:tc>
        <w:tc>
          <w:tcPr>
            <w:tcW w:w="2245" w:type="dxa"/>
            <w:vMerge w:val="restart"/>
            <w:vAlign w:val="center"/>
          </w:tcPr>
          <w:p w14:paraId="0D8ADF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产出指标</w:t>
            </w:r>
          </w:p>
        </w:tc>
        <w:tc>
          <w:tcPr>
            <w:tcW w:w="1941" w:type="dxa"/>
            <w:vAlign w:val="center"/>
          </w:tcPr>
          <w:p w14:paraId="0555C5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数量指标</w:t>
            </w:r>
          </w:p>
        </w:tc>
        <w:tc>
          <w:tcPr>
            <w:tcW w:w="2476" w:type="dxa"/>
            <w:vAlign w:val="center"/>
          </w:tcPr>
          <w:p w14:paraId="0D5B9F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立法报批修改件数</w:t>
            </w:r>
          </w:p>
        </w:tc>
        <w:tc>
          <w:tcPr>
            <w:tcW w:w="570" w:type="dxa"/>
            <w:vAlign w:val="center"/>
          </w:tcPr>
          <w:p w14:paraId="0B4960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1834" w:type="dxa"/>
            <w:vAlign w:val="center"/>
          </w:tcPr>
          <w:p w14:paraId="4B5089DD">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6</w:t>
            </w:r>
          </w:p>
        </w:tc>
        <w:tc>
          <w:tcPr>
            <w:tcW w:w="571" w:type="dxa"/>
            <w:vAlign w:val="center"/>
          </w:tcPr>
          <w:p w14:paraId="7E822F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件</w:t>
            </w:r>
          </w:p>
        </w:tc>
        <w:tc>
          <w:tcPr>
            <w:tcW w:w="1193" w:type="dxa"/>
            <w:vAlign w:val="center"/>
          </w:tcPr>
          <w:p w14:paraId="1E8486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eastAsia" w:ascii="微软雅黑" w:hAnsi="微软雅黑" w:eastAsia="微软雅黑" w:cs="微软雅黑"/>
                <w:i/>
                <w:iCs/>
                <w:color w:val="000000"/>
                <w:kern w:val="0"/>
                <w:sz w:val="16"/>
                <w:szCs w:val="16"/>
                <w:u w:val="none"/>
                <w:lang w:val="en-US" w:eastAsia="zh-CN" w:bidi="ar"/>
              </w:rPr>
              <w:t>6</w:t>
            </w:r>
          </w:p>
        </w:tc>
        <w:tc>
          <w:tcPr>
            <w:tcW w:w="552" w:type="dxa"/>
            <w:vAlign w:val="center"/>
          </w:tcPr>
          <w:p w14:paraId="71F899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10</w:t>
            </w:r>
          </w:p>
        </w:tc>
        <w:tc>
          <w:tcPr>
            <w:tcW w:w="499" w:type="dxa"/>
            <w:vAlign w:val="center"/>
          </w:tcPr>
          <w:p w14:paraId="357F60CB">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10</w:t>
            </w:r>
          </w:p>
        </w:tc>
        <w:tc>
          <w:tcPr>
            <w:tcW w:w="2799" w:type="dxa"/>
            <w:vAlign w:val="center"/>
          </w:tcPr>
          <w:p w14:paraId="19BBE81E">
            <w:pPr>
              <w:keepNext w:val="0"/>
              <w:keepLines w:val="0"/>
              <w:suppressLineNumbers w:val="0"/>
              <w:spacing w:before="0" w:beforeAutospacing="0" w:after="0" w:afterAutospacing="0"/>
              <w:ind w:left="0" w:right="0"/>
              <w:jc w:val="center"/>
              <w:rPr>
                <w:rFonts w:hint="default"/>
              </w:rPr>
            </w:pPr>
          </w:p>
        </w:tc>
      </w:tr>
      <w:tr w14:paraId="556F8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748" w:type="dxa"/>
            <w:vMerge w:val="continue"/>
            <w:tcBorders>
              <w:top w:val="nil"/>
            </w:tcBorders>
            <w:vAlign w:val="center"/>
          </w:tcPr>
          <w:p w14:paraId="46A333B1">
            <w:pPr>
              <w:keepNext w:val="0"/>
              <w:keepLines w:val="0"/>
              <w:suppressLineNumbers w:val="0"/>
              <w:spacing w:before="0" w:beforeAutospacing="0" w:after="0" w:afterAutospacing="0"/>
              <w:ind w:left="0" w:right="0"/>
              <w:jc w:val="center"/>
              <w:rPr>
                <w:rFonts w:hint="default"/>
                <w:sz w:val="2"/>
                <w:szCs w:val="2"/>
              </w:rPr>
            </w:pPr>
          </w:p>
        </w:tc>
        <w:tc>
          <w:tcPr>
            <w:tcW w:w="2245" w:type="dxa"/>
            <w:vMerge w:val="continue"/>
            <w:tcBorders>
              <w:top w:val="nil"/>
            </w:tcBorders>
            <w:vAlign w:val="center"/>
          </w:tcPr>
          <w:p w14:paraId="2C92E93F">
            <w:pPr>
              <w:keepNext w:val="0"/>
              <w:keepLines w:val="0"/>
              <w:suppressLineNumbers w:val="0"/>
              <w:spacing w:before="0" w:beforeAutospacing="0" w:after="0" w:afterAutospacing="0"/>
              <w:ind w:left="0" w:right="0"/>
              <w:jc w:val="center"/>
              <w:rPr>
                <w:rFonts w:hint="default" w:ascii="宋体" w:hAnsi="宋体" w:eastAsia="宋体" w:cs="宋体"/>
                <w:kern w:val="2"/>
                <w:sz w:val="16"/>
                <w:szCs w:val="24"/>
                <w:lang w:val="en-US" w:eastAsia="zh-CN" w:bidi="ar-SA"/>
              </w:rPr>
            </w:pPr>
          </w:p>
        </w:tc>
        <w:tc>
          <w:tcPr>
            <w:tcW w:w="1941" w:type="dxa"/>
            <w:vMerge w:val="restart"/>
            <w:vAlign w:val="center"/>
          </w:tcPr>
          <w:p w14:paraId="62273E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质量指标</w:t>
            </w:r>
          </w:p>
        </w:tc>
        <w:tc>
          <w:tcPr>
            <w:tcW w:w="2476" w:type="dxa"/>
            <w:vAlign w:val="center"/>
          </w:tcPr>
          <w:p w14:paraId="24EE78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立法通过率</w:t>
            </w:r>
          </w:p>
        </w:tc>
        <w:tc>
          <w:tcPr>
            <w:tcW w:w="570" w:type="dxa"/>
            <w:vAlign w:val="center"/>
          </w:tcPr>
          <w:p w14:paraId="27EE7A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1834" w:type="dxa"/>
            <w:vAlign w:val="center"/>
          </w:tcPr>
          <w:p w14:paraId="221B26AC">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100</w:t>
            </w:r>
          </w:p>
        </w:tc>
        <w:tc>
          <w:tcPr>
            <w:tcW w:w="571" w:type="dxa"/>
            <w:vAlign w:val="center"/>
          </w:tcPr>
          <w:p w14:paraId="26E33C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1193" w:type="dxa"/>
            <w:vAlign w:val="center"/>
          </w:tcPr>
          <w:p w14:paraId="61CA1C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eastAsia" w:ascii="微软雅黑" w:hAnsi="微软雅黑" w:eastAsia="微软雅黑" w:cs="微软雅黑"/>
                <w:i/>
                <w:iCs/>
                <w:color w:val="000000"/>
                <w:kern w:val="0"/>
                <w:sz w:val="16"/>
                <w:szCs w:val="16"/>
                <w:u w:val="none"/>
                <w:lang w:val="en-US" w:eastAsia="zh-CN" w:bidi="ar"/>
              </w:rPr>
              <w:t>100</w:t>
            </w:r>
          </w:p>
        </w:tc>
        <w:tc>
          <w:tcPr>
            <w:tcW w:w="552" w:type="dxa"/>
            <w:vAlign w:val="center"/>
          </w:tcPr>
          <w:p w14:paraId="415095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10</w:t>
            </w:r>
          </w:p>
        </w:tc>
        <w:tc>
          <w:tcPr>
            <w:tcW w:w="499" w:type="dxa"/>
            <w:vAlign w:val="center"/>
          </w:tcPr>
          <w:p w14:paraId="066BDD38">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10</w:t>
            </w:r>
          </w:p>
        </w:tc>
        <w:tc>
          <w:tcPr>
            <w:tcW w:w="2799" w:type="dxa"/>
            <w:vAlign w:val="center"/>
          </w:tcPr>
          <w:p w14:paraId="2735FDD6">
            <w:pPr>
              <w:keepNext w:val="0"/>
              <w:keepLines w:val="0"/>
              <w:suppressLineNumbers w:val="0"/>
              <w:spacing w:before="0" w:beforeAutospacing="0" w:after="0" w:afterAutospacing="0"/>
              <w:ind w:left="0" w:right="0"/>
              <w:jc w:val="center"/>
              <w:rPr>
                <w:rFonts w:hint="default"/>
              </w:rPr>
            </w:pPr>
          </w:p>
        </w:tc>
      </w:tr>
      <w:tr w14:paraId="4E0452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748" w:type="dxa"/>
            <w:vMerge w:val="continue"/>
            <w:tcBorders>
              <w:top w:val="nil"/>
            </w:tcBorders>
            <w:vAlign w:val="center"/>
          </w:tcPr>
          <w:p w14:paraId="089E5153">
            <w:pPr>
              <w:keepNext w:val="0"/>
              <w:keepLines w:val="0"/>
              <w:suppressLineNumbers w:val="0"/>
              <w:spacing w:before="0" w:beforeAutospacing="0" w:after="0" w:afterAutospacing="0"/>
              <w:ind w:left="0" w:right="0"/>
              <w:jc w:val="center"/>
              <w:rPr>
                <w:rFonts w:hint="default"/>
                <w:sz w:val="2"/>
                <w:szCs w:val="2"/>
              </w:rPr>
            </w:pPr>
          </w:p>
        </w:tc>
        <w:tc>
          <w:tcPr>
            <w:tcW w:w="2245" w:type="dxa"/>
            <w:vMerge w:val="continue"/>
            <w:tcBorders>
              <w:top w:val="nil"/>
            </w:tcBorders>
            <w:vAlign w:val="center"/>
          </w:tcPr>
          <w:p w14:paraId="33D937E4">
            <w:pPr>
              <w:keepNext w:val="0"/>
              <w:keepLines w:val="0"/>
              <w:suppressLineNumbers w:val="0"/>
              <w:spacing w:before="0" w:beforeAutospacing="0" w:after="0" w:afterAutospacing="0"/>
              <w:ind w:left="0" w:right="0"/>
              <w:jc w:val="center"/>
              <w:rPr>
                <w:rFonts w:hint="default" w:ascii="宋体" w:hAnsi="宋体" w:eastAsia="宋体" w:cs="宋体"/>
                <w:kern w:val="2"/>
                <w:sz w:val="16"/>
                <w:szCs w:val="24"/>
                <w:lang w:val="en-US" w:eastAsia="zh-CN" w:bidi="ar-SA"/>
              </w:rPr>
            </w:pPr>
          </w:p>
        </w:tc>
        <w:tc>
          <w:tcPr>
            <w:tcW w:w="1941" w:type="dxa"/>
            <w:vMerge w:val="continue"/>
            <w:vAlign w:val="center"/>
          </w:tcPr>
          <w:p w14:paraId="7B0BE475">
            <w:pPr>
              <w:keepNext w:val="0"/>
              <w:keepLines w:val="0"/>
              <w:suppressLineNumbers w:val="0"/>
              <w:spacing w:before="0" w:beforeAutospacing="0" w:after="0" w:afterAutospacing="0"/>
              <w:ind w:left="0" w:right="0"/>
              <w:jc w:val="center"/>
              <w:rPr>
                <w:rFonts w:hint="default" w:ascii="宋体" w:hAnsi="宋体" w:eastAsia="宋体" w:cs="宋体"/>
                <w:kern w:val="2"/>
                <w:sz w:val="16"/>
                <w:szCs w:val="24"/>
                <w:lang w:val="en-US" w:eastAsia="zh-CN" w:bidi="ar-SA"/>
              </w:rPr>
            </w:pPr>
          </w:p>
        </w:tc>
        <w:tc>
          <w:tcPr>
            <w:tcW w:w="2476" w:type="dxa"/>
            <w:vAlign w:val="center"/>
          </w:tcPr>
          <w:p w14:paraId="497D1C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立法完成率</w:t>
            </w:r>
          </w:p>
        </w:tc>
        <w:tc>
          <w:tcPr>
            <w:tcW w:w="570" w:type="dxa"/>
            <w:vAlign w:val="center"/>
          </w:tcPr>
          <w:p w14:paraId="0E0AC3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1834" w:type="dxa"/>
            <w:vAlign w:val="center"/>
          </w:tcPr>
          <w:p w14:paraId="15BB1F88">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100</w:t>
            </w:r>
          </w:p>
        </w:tc>
        <w:tc>
          <w:tcPr>
            <w:tcW w:w="571" w:type="dxa"/>
            <w:vAlign w:val="center"/>
          </w:tcPr>
          <w:p w14:paraId="778BE4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1193" w:type="dxa"/>
            <w:vAlign w:val="center"/>
          </w:tcPr>
          <w:p w14:paraId="6641D5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eastAsia" w:ascii="微软雅黑" w:hAnsi="微软雅黑" w:eastAsia="微软雅黑" w:cs="微软雅黑"/>
                <w:i/>
                <w:iCs/>
                <w:color w:val="000000"/>
                <w:kern w:val="0"/>
                <w:sz w:val="16"/>
                <w:szCs w:val="16"/>
                <w:u w:val="none"/>
                <w:lang w:val="en-US" w:eastAsia="zh-CN" w:bidi="ar"/>
              </w:rPr>
              <w:t>100</w:t>
            </w:r>
          </w:p>
        </w:tc>
        <w:tc>
          <w:tcPr>
            <w:tcW w:w="552" w:type="dxa"/>
            <w:vAlign w:val="center"/>
          </w:tcPr>
          <w:p w14:paraId="29529E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10</w:t>
            </w:r>
          </w:p>
        </w:tc>
        <w:tc>
          <w:tcPr>
            <w:tcW w:w="499" w:type="dxa"/>
            <w:vAlign w:val="center"/>
          </w:tcPr>
          <w:p w14:paraId="51CF13D7">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10</w:t>
            </w:r>
          </w:p>
        </w:tc>
        <w:tc>
          <w:tcPr>
            <w:tcW w:w="2799" w:type="dxa"/>
            <w:vAlign w:val="center"/>
          </w:tcPr>
          <w:p w14:paraId="60FEDBB6">
            <w:pPr>
              <w:keepNext w:val="0"/>
              <w:keepLines w:val="0"/>
              <w:suppressLineNumbers w:val="0"/>
              <w:spacing w:before="0" w:beforeAutospacing="0" w:after="0" w:afterAutospacing="0"/>
              <w:ind w:left="0" w:right="0"/>
              <w:jc w:val="center"/>
              <w:rPr>
                <w:rFonts w:hint="default"/>
              </w:rPr>
            </w:pPr>
          </w:p>
        </w:tc>
      </w:tr>
      <w:tr w14:paraId="0FEF06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748" w:type="dxa"/>
            <w:vMerge w:val="continue"/>
            <w:tcBorders>
              <w:top w:val="nil"/>
            </w:tcBorders>
            <w:vAlign w:val="center"/>
          </w:tcPr>
          <w:p w14:paraId="5A983201">
            <w:pPr>
              <w:keepNext w:val="0"/>
              <w:keepLines w:val="0"/>
              <w:suppressLineNumbers w:val="0"/>
              <w:spacing w:before="0" w:beforeAutospacing="0" w:after="0" w:afterAutospacing="0"/>
              <w:ind w:left="0" w:right="0"/>
              <w:jc w:val="center"/>
              <w:rPr>
                <w:rFonts w:hint="default" w:ascii="宋体" w:hAnsi="宋体" w:eastAsia="宋体" w:cs="宋体"/>
                <w:kern w:val="2"/>
                <w:sz w:val="16"/>
                <w:szCs w:val="24"/>
                <w:lang w:val="en-US" w:eastAsia="zh-CN" w:bidi="ar-SA"/>
              </w:rPr>
            </w:pPr>
          </w:p>
        </w:tc>
        <w:tc>
          <w:tcPr>
            <w:tcW w:w="2245" w:type="dxa"/>
            <w:vMerge w:val="continue"/>
            <w:tcBorders>
              <w:top w:val="nil"/>
            </w:tcBorders>
            <w:vAlign w:val="center"/>
          </w:tcPr>
          <w:p w14:paraId="5059B160">
            <w:pPr>
              <w:keepNext w:val="0"/>
              <w:keepLines w:val="0"/>
              <w:suppressLineNumbers w:val="0"/>
              <w:spacing w:before="0" w:beforeAutospacing="0" w:after="0" w:afterAutospacing="0"/>
              <w:ind w:left="0" w:right="0"/>
              <w:jc w:val="center"/>
              <w:rPr>
                <w:rFonts w:hint="default"/>
              </w:rPr>
            </w:pPr>
          </w:p>
        </w:tc>
        <w:tc>
          <w:tcPr>
            <w:tcW w:w="1941" w:type="dxa"/>
            <w:vMerge w:val="continue"/>
            <w:tcBorders>
              <w:top w:val="nil"/>
            </w:tcBorders>
            <w:vAlign w:val="center"/>
          </w:tcPr>
          <w:p w14:paraId="37B7CA51">
            <w:pPr>
              <w:keepNext w:val="0"/>
              <w:keepLines w:val="0"/>
              <w:suppressLineNumbers w:val="0"/>
              <w:spacing w:before="0" w:beforeAutospacing="0" w:after="0" w:afterAutospacing="0"/>
              <w:ind w:left="0" w:right="0"/>
              <w:jc w:val="center"/>
              <w:rPr>
                <w:rFonts w:hint="default"/>
              </w:rPr>
            </w:pPr>
          </w:p>
        </w:tc>
        <w:tc>
          <w:tcPr>
            <w:tcW w:w="2476" w:type="dxa"/>
            <w:tcBorders>
              <w:top w:val="nil"/>
            </w:tcBorders>
            <w:vAlign w:val="center"/>
          </w:tcPr>
          <w:p w14:paraId="67129325">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支出合规性</w:t>
            </w:r>
          </w:p>
        </w:tc>
        <w:tc>
          <w:tcPr>
            <w:tcW w:w="570" w:type="dxa"/>
            <w:tcBorders>
              <w:top w:val="nil"/>
            </w:tcBorders>
            <w:vAlign w:val="center"/>
          </w:tcPr>
          <w:p w14:paraId="43F6A525">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定性</w:t>
            </w:r>
          </w:p>
        </w:tc>
        <w:tc>
          <w:tcPr>
            <w:tcW w:w="1834" w:type="dxa"/>
            <w:tcBorders>
              <w:top w:val="nil"/>
            </w:tcBorders>
            <w:vAlign w:val="center"/>
          </w:tcPr>
          <w:p w14:paraId="5DFF9162">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合规</w:t>
            </w:r>
          </w:p>
        </w:tc>
        <w:tc>
          <w:tcPr>
            <w:tcW w:w="571" w:type="dxa"/>
            <w:vAlign w:val="center"/>
          </w:tcPr>
          <w:p w14:paraId="34BC38CD">
            <w:pPr>
              <w:keepNext w:val="0"/>
              <w:keepLines w:val="0"/>
              <w:suppressLineNumbers w:val="0"/>
              <w:spacing w:before="0" w:beforeAutospacing="0" w:after="0" w:afterAutospacing="0"/>
              <w:ind w:left="0" w:right="0"/>
              <w:jc w:val="center"/>
              <w:rPr>
                <w:rFonts w:hint="default" w:ascii="宋体" w:hAnsi="宋体" w:eastAsia="宋体" w:cs="宋体"/>
                <w:kern w:val="2"/>
                <w:sz w:val="16"/>
                <w:szCs w:val="24"/>
                <w:lang w:val="en-US" w:eastAsia="zh-CN" w:bidi="ar-SA"/>
              </w:rPr>
            </w:pPr>
          </w:p>
        </w:tc>
        <w:tc>
          <w:tcPr>
            <w:tcW w:w="1193" w:type="dxa"/>
            <w:vAlign w:val="center"/>
          </w:tcPr>
          <w:p w14:paraId="41BEB5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eastAsia" w:ascii="微软雅黑" w:hAnsi="微软雅黑" w:eastAsia="微软雅黑" w:cs="微软雅黑"/>
                <w:i/>
                <w:iCs/>
                <w:color w:val="000000"/>
                <w:kern w:val="0"/>
                <w:sz w:val="16"/>
                <w:szCs w:val="16"/>
                <w:u w:val="none"/>
                <w:lang w:val="en-US" w:eastAsia="zh-CN" w:bidi="ar"/>
              </w:rPr>
              <w:t>合规</w:t>
            </w:r>
          </w:p>
        </w:tc>
        <w:tc>
          <w:tcPr>
            <w:tcW w:w="552" w:type="dxa"/>
            <w:vAlign w:val="center"/>
          </w:tcPr>
          <w:p w14:paraId="71D047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10</w:t>
            </w:r>
          </w:p>
        </w:tc>
        <w:tc>
          <w:tcPr>
            <w:tcW w:w="499" w:type="dxa"/>
            <w:vAlign w:val="center"/>
          </w:tcPr>
          <w:p w14:paraId="6C38883C">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9</w:t>
            </w:r>
          </w:p>
        </w:tc>
        <w:tc>
          <w:tcPr>
            <w:tcW w:w="2799" w:type="dxa"/>
            <w:vAlign w:val="center"/>
          </w:tcPr>
          <w:p w14:paraId="2891C590">
            <w:pPr>
              <w:keepNext w:val="0"/>
              <w:keepLines w:val="0"/>
              <w:suppressLineNumbers w:val="0"/>
              <w:spacing w:before="0" w:beforeAutospacing="0" w:after="0" w:afterAutospacing="0"/>
              <w:ind w:left="0" w:right="0"/>
              <w:jc w:val="center"/>
              <w:rPr>
                <w:rFonts w:hint="default"/>
              </w:rPr>
            </w:pPr>
          </w:p>
        </w:tc>
      </w:tr>
      <w:tr w14:paraId="57C3F5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748" w:type="dxa"/>
            <w:vMerge w:val="continue"/>
            <w:tcBorders>
              <w:top w:val="nil"/>
            </w:tcBorders>
            <w:vAlign w:val="center"/>
          </w:tcPr>
          <w:p w14:paraId="3F4C8E81">
            <w:pPr>
              <w:keepNext w:val="0"/>
              <w:keepLines w:val="0"/>
              <w:suppressLineNumbers w:val="0"/>
              <w:spacing w:before="0" w:beforeAutospacing="0" w:after="0" w:afterAutospacing="0"/>
              <w:ind w:left="0" w:right="0"/>
              <w:jc w:val="center"/>
              <w:rPr>
                <w:rFonts w:hint="default"/>
                <w:sz w:val="2"/>
                <w:szCs w:val="2"/>
              </w:rPr>
            </w:pPr>
          </w:p>
        </w:tc>
        <w:tc>
          <w:tcPr>
            <w:tcW w:w="2245" w:type="dxa"/>
            <w:vMerge w:val="continue"/>
            <w:vAlign w:val="center"/>
          </w:tcPr>
          <w:p w14:paraId="48901218">
            <w:pPr>
              <w:keepNext w:val="0"/>
              <w:keepLines w:val="0"/>
              <w:suppressLineNumbers w:val="0"/>
              <w:spacing w:before="0" w:beforeAutospacing="0" w:after="0" w:afterAutospacing="0"/>
              <w:ind w:left="0" w:right="0"/>
              <w:jc w:val="center"/>
              <w:rPr>
                <w:rFonts w:hint="default" w:ascii="宋体" w:hAnsi="宋体" w:eastAsia="宋体" w:cs="宋体"/>
                <w:kern w:val="2"/>
                <w:sz w:val="16"/>
                <w:szCs w:val="24"/>
                <w:lang w:val="en-US" w:eastAsia="zh-CN" w:bidi="ar-SA"/>
              </w:rPr>
            </w:pPr>
          </w:p>
        </w:tc>
        <w:tc>
          <w:tcPr>
            <w:tcW w:w="1941" w:type="dxa"/>
            <w:vAlign w:val="center"/>
          </w:tcPr>
          <w:p w14:paraId="2910BD6F">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时效指标</w:t>
            </w:r>
          </w:p>
        </w:tc>
        <w:tc>
          <w:tcPr>
            <w:tcW w:w="2476" w:type="dxa"/>
            <w:vAlign w:val="center"/>
          </w:tcPr>
          <w:p w14:paraId="1999E53E">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项目完成时间，截止2024年12月31日</w:t>
            </w:r>
          </w:p>
        </w:tc>
        <w:tc>
          <w:tcPr>
            <w:tcW w:w="570" w:type="dxa"/>
            <w:vAlign w:val="center"/>
          </w:tcPr>
          <w:p w14:paraId="2332C0C7">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w:t>
            </w:r>
          </w:p>
        </w:tc>
        <w:tc>
          <w:tcPr>
            <w:tcW w:w="1834" w:type="dxa"/>
            <w:vAlign w:val="center"/>
          </w:tcPr>
          <w:p w14:paraId="34DC30B6">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1</w:t>
            </w:r>
          </w:p>
        </w:tc>
        <w:tc>
          <w:tcPr>
            <w:tcW w:w="571" w:type="dxa"/>
            <w:vAlign w:val="center"/>
          </w:tcPr>
          <w:p w14:paraId="0CA465CD">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年</w:t>
            </w:r>
          </w:p>
        </w:tc>
        <w:tc>
          <w:tcPr>
            <w:tcW w:w="1193" w:type="dxa"/>
            <w:vAlign w:val="center"/>
          </w:tcPr>
          <w:p w14:paraId="50BC3198">
            <w:pPr>
              <w:keepNext w:val="0"/>
              <w:keepLines w:val="0"/>
              <w:widowControl/>
              <w:suppressLineNumbers w:val="0"/>
              <w:spacing w:before="0" w:beforeAutospacing="0" w:after="0" w:afterAutospacing="0"/>
              <w:ind w:left="0" w:right="0"/>
              <w:jc w:val="center"/>
              <w:textAlignment w:val="center"/>
              <w:rPr>
                <w:rFonts w:hint="default"/>
              </w:rPr>
            </w:pPr>
            <w:r>
              <w:rPr>
                <w:rFonts w:hint="eastAsia" w:ascii="微软雅黑" w:hAnsi="微软雅黑" w:eastAsia="微软雅黑" w:cs="微软雅黑"/>
                <w:i/>
                <w:iCs/>
                <w:color w:val="000000"/>
                <w:kern w:val="0"/>
                <w:sz w:val="16"/>
                <w:szCs w:val="16"/>
                <w:u w:val="none"/>
                <w:lang w:val="en-US" w:eastAsia="zh-CN" w:bidi="ar"/>
              </w:rPr>
              <w:t>1</w:t>
            </w:r>
          </w:p>
        </w:tc>
        <w:tc>
          <w:tcPr>
            <w:tcW w:w="552" w:type="dxa"/>
            <w:vAlign w:val="center"/>
          </w:tcPr>
          <w:p w14:paraId="172B4996">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10</w:t>
            </w:r>
          </w:p>
        </w:tc>
        <w:tc>
          <w:tcPr>
            <w:tcW w:w="499" w:type="dxa"/>
            <w:vAlign w:val="center"/>
          </w:tcPr>
          <w:p w14:paraId="685C587F">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9</w:t>
            </w:r>
          </w:p>
        </w:tc>
        <w:tc>
          <w:tcPr>
            <w:tcW w:w="2799" w:type="dxa"/>
            <w:vAlign w:val="center"/>
          </w:tcPr>
          <w:p w14:paraId="5E38C915">
            <w:pPr>
              <w:keepNext w:val="0"/>
              <w:keepLines w:val="0"/>
              <w:suppressLineNumbers w:val="0"/>
              <w:spacing w:before="0" w:beforeAutospacing="0" w:after="0" w:afterAutospacing="0"/>
              <w:ind w:left="0" w:right="0"/>
              <w:jc w:val="center"/>
              <w:rPr>
                <w:rFonts w:hint="default"/>
              </w:rPr>
            </w:pPr>
          </w:p>
        </w:tc>
      </w:tr>
      <w:tr w14:paraId="07B280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748" w:type="dxa"/>
            <w:vMerge w:val="continue"/>
            <w:vAlign w:val="center"/>
          </w:tcPr>
          <w:p w14:paraId="724B2461">
            <w:pPr>
              <w:keepNext w:val="0"/>
              <w:keepLines w:val="0"/>
              <w:suppressLineNumbers w:val="0"/>
              <w:spacing w:before="0" w:beforeAutospacing="0" w:after="0" w:afterAutospacing="0"/>
              <w:ind w:left="0" w:right="0"/>
              <w:jc w:val="center"/>
              <w:rPr>
                <w:rFonts w:hint="default" w:ascii="宋体" w:hAnsi="宋体" w:eastAsia="宋体" w:cs="宋体"/>
                <w:kern w:val="2"/>
                <w:sz w:val="16"/>
                <w:szCs w:val="24"/>
                <w:lang w:val="en-US" w:eastAsia="zh-CN" w:bidi="ar-SA"/>
              </w:rPr>
            </w:pPr>
          </w:p>
        </w:tc>
        <w:tc>
          <w:tcPr>
            <w:tcW w:w="2245" w:type="dxa"/>
            <w:vAlign w:val="center"/>
          </w:tcPr>
          <w:p w14:paraId="43B60B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效益指标</w:t>
            </w:r>
          </w:p>
        </w:tc>
        <w:tc>
          <w:tcPr>
            <w:tcW w:w="1941" w:type="dxa"/>
            <w:vAlign w:val="center"/>
          </w:tcPr>
          <w:p w14:paraId="321C7F24">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社会效益指标</w:t>
            </w:r>
          </w:p>
        </w:tc>
        <w:tc>
          <w:tcPr>
            <w:tcW w:w="2476" w:type="dxa"/>
            <w:vAlign w:val="center"/>
          </w:tcPr>
          <w:p w14:paraId="7CFDDC95">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高质量保障立法工作</w:t>
            </w:r>
          </w:p>
        </w:tc>
        <w:tc>
          <w:tcPr>
            <w:tcW w:w="570" w:type="dxa"/>
            <w:vAlign w:val="center"/>
          </w:tcPr>
          <w:p w14:paraId="514715B6">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定性</w:t>
            </w:r>
          </w:p>
        </w:tc>
        <w:tc>
          <w:tcPr>
            <w:tcW w:w="1834" w:type="dxa"/>
            <w:vAlign w:val="center"/>
          </w:tcPr>
          <w:p w14:paraId="18A9C0E9">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有效保障</w:t>
            </w:r>
          </w:p>
        </w:tc>
        <w:tc>
          <w:tcPr>
            <w:tcW w:w="571" w:type="dxa"/>
            <w:vAlign w:val="center"/>
          </w:tcPr>
          <w:p w14:paraId="17651DD1">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元/年</w:t>
            </w:r>
          </w:p>
        </w:tc>
        <w:tc>
          <w:tcPr>
            <w:tcW w:w="1193" w:type="dxa"/>
            <w:vAlign w:val="center"/>
          </w:tcPr>
          <w:p w14:paraId="2010C8CD">
            <w:pPr>
              <w:keepNext w:val="0"/>
              <w:keepLines w:val="0"/>
              <w:widowControl/>
              <w:suppressLineNumbers w:val="0"/>
              <w:spacing w:before="0" w:beforeAutospacing="0" w:after="0" w:afterAutospacing="0"/>
              <w:ind w:left="0" w:right="0"/>
              <w:jc w:val="center"/>
              <w:textAlignment w:val="center"/>
              <w:rPr>
                <w:rFonts w:hint="default"/>
              </w:rPr>
            </w:pPr>
            <w:r>
              <w:rPr>
                <w:rFonts w:hint="eastAsia" w:ascii="微软雅黑" w:hAnsi="微软雅黑" w:eastAsia="微软雅黑" w:cs="微软雅黑"/>
                <w:i/>
                <w:iCs/>
                <w:color w:val="000000"/>
                <w:kern w:val="0"/>
                <w:sz w:val="16"/>
                <w:szCs w:val="16"/>
                <w:u w:val="none"/>
                <w:lang w:val="en-US" w:eastAsia="zh-CN" w:bidi="ar"/>
              </w:rPr>
              <w:t>有效保障</w:t>
            </w:r>
          </w:p>
        </w:tc>
        <w:tc>
          <w:tcPr>
            <w:tcW w:w="552" w:type="dxa"/>
            <w:vAlign w:val="center"/>
          </w:tcPr>
          <w:p w14:paraId="4019CE31">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20</w:t>
            </w:r>
          </w:p>
        </w:tc>
        <w:tc>
          <w:tcPr>
            <w:tcW w:w="499" w:type="dxa"/>
            <w:vAlign w:val="center"/>
          </w:tcPr>
          <w:p w14:paraId="5BA3288A">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16</w:t>
            </w:r>
          </w:p>
        </w:tc>
        <w:tc>
          <w:tcPr>
            <w:tcW w:w="2799" w:type="dxa"/>
            <w:vAlign w:val="center"/>
          </w:tcPr>
          <w:p w14:paraId="192A6A26">
            <w:pPr>
              <w:keepNext w:val="0"/>
              <w:keepLines w:val="0"/>
              <w:suppressLineNumbers w:val="0"/>
              <w:spacing w:before="0" w:beforeAutospacing="0" w:after="0" w:afterAutospacing="0"/>
              <w:ind w:left="0" w:right="0"/>
              <w:jc w:val="center"/>
              <w:rPr>
                <w:rFonts w:hint="default"/>
              </w:rPr>
            </w:pPr>
          </w:p>
        </w:tc>
      </w:tr>
      <w:tr w14:paraId="7B1C22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748" w:type="dxa"/>
            <w:vMerge w:val="continue"/>
            <w:vAlign w:val="center"/>
          </w:tcPr>
          <w:p w14:paraId="44F9FDCF">
            <w:pPr>
              <w:keepNext w:val="0"/>
              <w:keepLines w:val="0"/>
              <w:suppressLineNumbers w:val="0"/>
              <w:spacing w:before="0" w:beforeAutospacing="0" w:after="0" w:afterAutospacing="0"/>
              <w:ind w:left="0" w:right="0"/>
              <w:jc w:val="center"/>
              <w:rPr>
                <w:rFonts w:hint="default" w:ascii="宋体" w:hAnsi="宋体" w:eastAsia="宋体" w:cs="宋体"/>
                <w:kern w:val="2"/>
                <w:sz w:val="16"/>
                <w:szCs w:val="24"/>
                <w:lang w:val="en-US" w:eastAsia="zh-CN" w:bidi="ar-SA"/>
              </w:rPr>
            </w:pPr>
          </w:p>
        </w:tc>
        <w:tc>
          <w:tcPr>
            <w:tcW w:w="2245" w:type="dxa"/>
            <w:vAlign w:val="center"/>
          </w:tcPr>
          <w:p w14:paraId="7CE3D1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满意度指标</w:t>
            </w:r>
          </w:p>
        </w:tc>
        <w:tc>
          <w:tcPr>
            <w:tcW w:w="1941" w:type="dxa"/>
            <w:vAlign w:val="center"/>
          </w:tcPr>
          <w:p w14:paraId="31D12189">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476" w:type="dxa"/>
            <w:vAlign w:val="center"/>
          </w:tcPr>
          <w:p w14:paraId="160002AD">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受益对象的满意度</w:t>
            </w:r>
          </w:p>
        </w:tc>
        <w:tc>
          <w:tcPr>
            <w:tcW w:w="570" w:type="dxa"/>
            <w:vAlign w:val="center"/>
          </w:tcPr>
          <w:p w14:paraId="0021B485">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w:t>
            </w:r>
          </w:p>
        </w:tc>
        <w:tc>
          <w:tcPr>
            <w:tcW w:w="1834" w:type="dxa"/>
            <w:vAlign w:val="center"/>
          </w:tcPr>
          <w:p w14:paraId="3923383F">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98</w:t>
            </w:r>
          </w:p>
        </w:tc>
        <w:tc>
          <w:tcPr>
            <w:tcW w:w="571" w:type="dxa"/>
            <w:vAlign w:val="center"/>
          </w:tcPr>
          <w:p w14:paraId="3A065F79">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w:t>
            </w:r>
          </w:p>
        </w:tc>
        <w:tc>
          <w:tcPr>
            <w:tcW w:w="1193" w:type="dxa"/>
            <w:vAlign w:val="center"/>
          </w:tcPr>
          <w:p w14:paraId="5A69FF89">
            <w:pPr>
              <w:keepNext w:val="0"/>
              <w:keepLines w:val="0"/>
              <w:widowControl/>
              <w:suppressLineNumbers w:val="0"/>
              <w:spacing w:before="0" w:beforeAutospacing="0" w:after="0" w:afterAutospacing="0"/>
              <w:ind w:left="0" w:right="0"/>
              <w:jc w:val="center"/>
              <w:textAlignment w:val="center"/>
              <w:rPr>
                <w:rFonts w:hint="default"/>
              </w:rPr>
            </w:pPr>
            <w:r>
              <w:rPr>
                <w:rFonts w:hint="eastAsia" w:ascii="微软雅黑" w:hAnsi="微软雅黑" w:eastAsia="微软雅黑" w:cs="微软雅黑"/>
                <w:i/>
                <w:iCs/>
                <w:color w:val="000000"/>
                <w:kern w:val="0"/>
                <w:sz w:val="16"/>
                <w:szCs w:val="16"/>
                <w:u w:val="none"/>
                <w:lang w:val="en-US" w:eastAsia="zh-CN" w:bidi="ar"/>
              </w:rPr>
              <w:t>95</w:t>
            </w:r>
          </w:p>
        </w:tc>
        <w:tc>
          <w:tcPr>
            <w:tcW w:w="552" w:type="dxa"/>
            <w:vAlign w:val="center"/>
          </w:tcPr>
          <w:p w14:paraId="4828E04F">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5</w:t>
            </w:r>
          </w:p>
        </w:tc>
        <w:tc>
          <w:tcPr>
            <w:tcW w:w="499" w:type="dxa"/>
            <w:vAlign w:val="center"/>
          </w:tcPr>
          <w:p w14:paraId="7F5227C8">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3</w:t>
            </w:r>
          </w:p>
        </w:tc>
        <w:tc>
          <w:tcPr>
            <w:tcW w:w="2799" w:type="dxa"/>
            <w:vAlign w:val="center"/>
          </w:tcPr>
          <w:p w14:paraId="79088B72">
            <w:pPr>
              <w:keepNext w:val="0"/>
              <w:keepLines w:val="0"/>
              <w:suppressLineNumbers w:val="0"/>
              <w:spacing w:before="0" w:beforeAutospacing="0" w:after="0" w:afterAutospacing="0"/>
              <w:ind w:left="0" w:right="0"/>
              <w:jc w:val="center"/>
              <w:rPr>
                <w:rFonts w:hint="default"/>
              </w:rPr>
            </w:pPr>
          </w:p>
        </w:tc>
      </w:tr>
      <w:tr w14:paraId="0FC3CC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748" w:type="dxa"/>
            <w:vMerge w:val="continue"/>
            <w:vAlign w:val="center"/>
          </w:tcPr>
          <w:p w14:paraId="0603D30C">
            <w:pPr>
              <w:keepNext w:val="0"/>
              <w:keepLines w:val="0"/>
              <w:suppressLineNumbers w:val="0"/>
              <w:spacing w:before="0" w:beforeAutospacing="0" w:after="0" w:afterAutospacing="0"/>
              <w:ind w:left="0" w:right="0"/>
              <w:jc w:val="center"/>
              <w:rPr>
                <w:rFonts w:hint="default" w:ascii="宋体" w:hAnsi="宋体" w:eastAsia="宋体" w:cs="宋体"/>
                <w:kern w:val="2"/>
                <w:sz w:val="16"/>
                <w:szCs w:val="24"/>
                <w:lang w:val="en-US" w:eastAsia="zh-CN" w:bidi="ar-SA"/>
              </w:rPr>
            </w:pPr>
          </w:p>
        </w:tc>
        <w:tc>
          <w:tcPr>
            <w:tcW w:w="2245" w:type="dxa"/>
            <w:vAlign w:val="center"/>
          </w:tcPr>
          <w:p w14:paraId="29DE2629">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成本指标</w:t>
            </w:r>
          </w:p>
        </w:tc>
        <w:tc>
          <w:tcPr>
            <w:tcW w:w="1941" w:type="dxa"/>
            <w:vAlign w:val="center"/>
          </w:tcPr>
          <w:p w14:paraId="37F4AB45">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经济成本指标</w:t>
            </w:r>
          </w:p>
        </w:tc>
        <w:tc>
          <w:tcPr>
            <w:tcW w:w="2476" w:type="dxa"/>
            <w:vAlign w:val="center"/>
          </w:tcPr>
          <w:p w14:paraId="512C7F06">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立法经费成本</w:t>
            </w:r>
          </w:p>
        </w:tc>
        <w:tc>
          <w:tcPr>
            <w:tcW w:w="570" w:type="dxa"/>
            <w:vAlign w:val="center"/>
          </w:tcPr>
          <w:p w14:paraId="0F4AAD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16"/>
                <w:szCs w:val="24"/>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1834" w:type="dxa"/>
            <w:vAlign w:val="center"/>
          </w:tcPr>
          <w:p w14:paraId="57846B63">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30</w:t>
            </w:r>
          </w:p>
        </w:tc>
        <w:tc>
          <w:tcPr>
            <w:tcW w:w="571" w:type="dxa"/>
            <w:vAlign w:val="center"/>
          </w:tcPr>
          <w:p w14:paraId="0FBD3E14">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万元</w:t>
            </w:r>
          </w:p>
        </w:tc>
        <w:tc>
          <w:tcPr>
            <w:tcW w:w="1193" w:type="dxa"/>
            <w:vAlign w:val="center"/>
          </w:tcPr>
          <w:p w14:paraId="307A742A">
            <w:pPr>
              <w:keepNext w:val="0"/>
              <w:keepLines w:val="0"/>
              <w:widowControl/>
              <w:suppressLineNumbers w:val="0"/>
              <w:spacing w:before="0" w:beforeAutospacing="0" w:after="0" w:afterAutospacing="0"/>
              <w:ind w:left="0" w:right="0"/>
              <w:jc w:val="center"/>
              <w:textAlignment w:val="center"/>
              <w:rPr>
                <w:rFonts w:hint="default"/>
              </w:rPr>
            </w:pPr>
            <w:r>
              <w:rPr>
                <w:rFonts w:hint="eastAsia" w:ascii="微软雅黑" w:hAnsi="微软雅黑" w:eastAsia="微软雅黑" w:cs="微软雅黑"/>
                <w:i/>
                <w:iCs/>
                <w:color w:val="000000"/>
                <w:kern w:val="0"/>
                <w:sz w:val="16"/>
                <w:szCs w:val="16"/>
                <w:u w:val="none"/>
                <w:lang w:val="en-US" w:eastAsia="zh-CN" w:bidi="ar"/>
              </w:rPr>
              <w:t>30</w:t>
            </w:r>
          </w:p>
        </w:tc>
        <w:tc>
          <w:tcPr>
            <w:tcW w:w="552" w:type="dxa"/>
            <w:vAlign w:val="center"/>
          </w:tcPr>
          <w:p w14:paraId="0A4ED088">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5</w:t>
            </w:r>
          </w:p>
        </w:tc>
        <w:tc>
          <w:tcPr>
            <w:tcW w:w="499" w:type="dxa"/>
            <w:vAlign w:val="center"/>
          </w:tcPr>
          <w:p w14:paraId="24BB9588">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5</w:t>
            </w:r>
          </w:p>
        </w:tc>
        <w:tc>
          <w:tcPr>
            <w:tcW w:w="2799" w:type="dxa"/>
            <w:vAlign w:val="center"/>
          </w:tcPr>
          <w:p w14:paraId="76F5C288">
            <w:pPr>
              <w:keepNext w:val="0"/>
              <w:keepLines w:val="0"/>
              <w:suppressLineNumbers w:val="0"/>
              <w:spacing w:before="0" w:beforeAutospacing="0" w:after="0" w:afterAutospacing="0"/>
              <w:ind w:left="0" w:right="0"/>
              <w:jc w:val="center"/>
              <w:rPr>
                <w:rFonts w:hint="default"/>
              </w:rPr>
            </w:pPr>
          </w:p>
        </w:tc>
      </w:tr>
    </w:tbl>
    <w:p w14:paraId="72FD8252">
      <w:pPr>
        <w:pStyle w:val="5"/>
        <w:rPr>
          <w:rFonts w:hint="eastAsia"/>
        </w:rPr>
        <w:sectPr>
          <w:footerReference r:id="rId5" w:type="default"/>
          <w:pgSz w:w="16840" w:h="11910" w:orient="landscape"/>
          <w:pgMar w:top="567" w:right="567" w:bottom="567" w:left="567" w:header="720" w:footer="720" w:gutter="0"/>
          <w:pgNumType w:fmt="decimal"/>
          <w:cols w:space="0" w:num="1"/>
          <w:rtlGutter w:val="0"/>
          <w:docGrid w:linePitch="0" w:charSpace="0"/>
        </w:sectPr>
      </w:pPr>
    </w:p>
    <w:tbl>
      <w:tblPr>
        <w:tblStyle w:val="15"/>
        <w:tblW w:w="0" w:type="auto"/>
        <w:tblInd w:w="1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2"/>
        <w:gridCol w:w="2259"/>
        <w:gridCol w:w="1953"/>
        <w:gridCol w:w="2492"/>
        <w:gridCol w:w="573"/>
        <w:gridCol w:w="1846"/>
        <w:gridCol w:w="574"/>
        <w:gridCol w:w="1200"/>
        <w:gridCol w:w="555"/>
        <w:gridCol w:w="502"/>
        <w:gridCol w:w="2816"/>
      </w:tblGrid>
      <w:tr w14:paraId="30A79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5" w:hRule="atLeast"/>
        </w:trPr>
        <w:tc>
          <w:tcPr>
            <w:tcW w:w="15522" w:type="dxa"/>
            <w:gridSpan w:val="11"/>
            <w:vAlign w:val="center"/>
          </w:tcPr>
          <w:p w14:paraId="08490878">
            <w:pPr>
              <w:keepNext w:val="0"/>
              <w:keepLines w:val="0"/>
              <w:widowControl/>
              <w:suppressLineNumbers w:val="0"/>
              <w:spacing w:before="0" w:beforeAutospacing="0" w:after="0" w:afterAutospacing="0"/>
              <w:ind w:left="0" w:right="0"/>
              <w:jc w:val="center"/>
              <w:textAlignment w:val="center"/>
              <w:rPr>
                <w:rFonts w:hint="eastAsia" w:ascii="黑体" w:eastAsia="黑体"/>
                <w:b/>
                <w:sz w:val="30"/>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D3E7B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3011" w:type="dxa"/>
            <w:gridSpan w:val="2"/>
            <w:vAlign w:val="center"/>
          </w:tcPr>
          <w:p w14:paraId="667484BA">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项目名称</w:t>
            </w:r>
          </w:p>
        </w:tc>
        <w:tc>
          <w:tcPr>
            <w:tcW w:w="12511" w:type="dxa"/>
            <w:gridSpan w:val="9"/>
            <w:vAlign w:val="center"/>
          </w:tcPr>
          <w:p w14:paraId="3E66C7C1">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51320021T000000048831-立法考察经费</w:t>
            </w:r>
          </w:p>
        </w:tc>
      </w:tr>
      <w:tr w14:paraId="59B781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8" w:hRule="atLeast"/>
        </w:trPr>
        <w:tc>
          <w:tcPr>
            <w:tcW w:w="3011" w:type="dxa"/>
            <w:gridSpan w:val="2"/>
            <w:vAlign w:val="center"/>
          </w:tcPr>
          <w:p w14:paraId="366266E9">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主管部门</w:t>
            </w:r>
          </w:p>
        </w:tc>
        <w:tc>
          <w:tcPr>
            <w:tcW w:w="7438" w:type="dxa"/>
            <w:gridSpan w:val="5"/>
            <w:vAlign w:val="center"/>
          </w:tcPr>
          <w:p w14:paraId="03F90D90">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州人大办公室部门</w:t>
            </w:r>
          </w:p>
        </w:tc>
        <w:tc>
          <w:tcPr>
            <w:tcW w:w="1200" w:type="dxa"/>
            <w:vAlign w:val="center"/>
          </w:tcPr>
          <w:p w14:paraId="4AD4AA4C">
            <w:pPr>
              <w:keepNext w:val="0"/>
              <w:keepLines w:val="0"/>
              <w:widowControl/>
              <w:suppressLineNumbers w:val="0"/>
              <w:spacing w:before="0" w:beforeAutospacing="0" w:after="0" w:afterAutospacing="0"/>
              <w:ind w:left="0" w:right="0"/>
              <w:jc w:val="left"/>
              <w:textAlignment w:val="center"/>
              <w:rPr>
                <w:rFonts w:hint="default"/>
              </w:rPr>
            </w:pPr>
            <w:r>
              <w:rPr>
                <w:rFonts w:hint="eastAsia" w:ascii="黑体" w:hAnsi="黑体" w:eastAsia="黑体" w:cs="黑体"/>
                <w:i w:val="0"/>
                <w:iCs w:val="0"/>
                <w:color w:val="000000"/>
                <w:kern w:val="0"/>
                <w:sz w:val="18"/>
                <w:szCs w:val="18"/>
                <w:u w:val="none"/>
                <w:lang w:val="en-US" w:eastAsia="zh-CN" w:bidi="ar"/>
              </w:rPr>
              <w:t>实施单位 （盖章）</w:t>
            </w:r>
          </w:p>
        </w:tc>
        <w:tc>
          <w:tcPr>
            <w:tcW w:w="3873" w:type="dxa"/>
            <w:gridSpan w:val="3"/>
            <w:vAlign w:val="center"/>
          </w:tcPr>
          <w:p w14:paraId="23C8C58B">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州人大办公室</w:t>
            </w:r>
          </w:p>
        </w:tc>
      </w:tr>
      <w:tr w14:paraId="78F80F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752" w:type="dxa"/>
            <w:vMerge w:val="restart"/>
            <w:vAlign w:val="center"/>
          </w:tcPr>
          <w:p w14:paraId="59AD8E6C">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项目基本情况</w:t>
            </w:r>
          </w:p>
        </w:tc>
        <w:tc>
          <w:tcPr>
            <w:tcW w:w="2259" w:type="dxa"/>
            <w:vMerge w:val="restart"/>
            <w:vAlign w:val="center"/>
          </w:tcPr>
          <w:p w14:paraId="115843F7">
            <w:pPr>
              <w:keepNext w:val="0"/>
              <w:keepLines w:val="0"/>
              <w:widowControl/>
              <w:suppressLineNumbers w:val="0"/>
              <w:spacing w:before="0" w:beforeAutospacing="0" w:after="0" w:afterAutospacing="0"/>
              <w:ind w:left="0" w:right="0"/>
              <w:jc w:val="left"/>
              <w:textAlignment w:val="center"/>
              <w:rPr>
                <w:rFonts w:hint="default"/>
                <w:sz w:val="11"/>
                <w:szCs w:val="11"/>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7438" w:type="dxa"/>
            <w:gridSpan w:val="5"/>
            <w:vAlign w:val="center"/>
          </w:tcPr>
          <w:p w14:paraId="4FEC810B">
            <w:pPr>
              <w:keepNext w:val="0"/>
              <w:keepLines w:val="0"/>
              <w:widowControl/>
              <w:suppressLineNumbers w:val="0"/>
              <w:spacing w:before="0" w:beforeAutospacing="0" w:after="0" w:afterAutospacing="0"/>
              <w:ind w:left="0" w:right="0"/>
              <w:jc w:val="center"/>
              <w:textAlignment w:val="center"/>
              <w:rPr>
                <w:rFonts w:hint="default"/>
                <w:sz w:val="11"/>
                <w:szCs w:val="11"/>
              </w:rPr>
            </w:pPr>
            <w:r>
              <w:rPr>
                <w:rFonts w:hint="default" w:ascii="宋体" w:hAnsi="宋体" w:eastAsia="宋体" w:cs="宋体"/>
                <w:i w:val="0"/>
                <w:iCs w:val="0"/>
                <w:color w:val="000000"/>
                <w:kern w:val="0"/>
                <w:sz w:val="18"/>
                <w:szCs w:val="18"/>
                <w:u w:val="none"/>
                <w:lang w:val="en-US" w:eastAsia="zh-CN" w:bidi="ar"/>
              </w:rPr>
              <w:t>项目年度目标</w:t>
            </w:r>
          </w:p>
        </w:tc>
        <w:tc>
          <w:tcPr>
            <w:tcW w:w="5073" w:type="dxa"/>
            <w:gridSpan w:val="4"/>
            <w:vAlign w:val="center"/>
          </w:tcPr>
          <w:p w14:paraId="526A0053">
            <w:pPr>
              <w:keepNext w:val="0"/>
              <w:keepLines w:val="0"/>
              <w:widowControl/>
              <w:suppressLineNumbers w:val="0"/>
              <w:spacing w:before="0" w:beforeAutospacing="0" w:after="0" w:afterAutospacing="0"/>
              <w:ind w:left="0" w:right="0"/>
              <w:jc w:val="center"/>
              <w:textAlignment w:val="center"/>
              <w:rPr>
                <w:rFonts w:hint="eastAsia" w:ascii="黑体" w:eastAsia="黑体"/>
                <w:sz w:val="18"/>
              </w:rPr>
            </w:pPr>
            <w:r>
              <w:rPr>
                <w:rFonts w:hint="eastAsia" w:ascii="黑体" w:hAnsi="黑体" w:eastAsia="黑体" w:cs="黑体"/>
                <w:i w:val="0"/>
                <w:iCs w:val="0"/>
                <w:color w:val="000000"/>
                <w:kern w:val="0"/>
                <w:sz w:val="18"/>
                <w:szCs w:val="18"/>
                <w:u w:val="none"/>
                <w:lang w:val="en-US" w:eastAsia="zh-CN" w:bidi="ar"/>
              </w:rPr>
              <w:t>年度目标完成情况</w:t>
            </w:r>
          </w:p>
        </w:tc>
      </w:tr>
      <w:tr w14:paraId="5EF4B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6" w:hRule="atLeast"/>
        </w:trPr>
        <w:tc>
          <w:tcPr>
            <w:tcW w:w="752" w:type="dxa"/>
            <w:vMerge w:val="continue"/>
            <w:tcBorders>
              <w:top w:val="nil"/>
            </w:tcBorders>
            <w:vAlign w:val="center"/>
          </w:tcPr>
          <w:p w14:paraId="6E21F755">
            <w:pPr>
              <w:keepNext w:val="0"/>
              <w:keepLines w:val="0"/>
              <w:suppressLineNumbers w:val="0"/>
              <w:spacing w:before="0" w:beforeAutospacing="0" w:after="0" w:afterAutospacing="0"/>
              <w:ind w:left="0" w:right="0"/>
              <w:rPr>
                <w:rFonts w:hint="default"/>
                <w:sz w:val="2"/>
                <w:szCs w:val="2"/>
              </w:rPr>
            </w:pPr>
          </w:p>
        </w:tc>
        <w:tc>
          <w:tcPr>
            <w:tcW w:w="2259" w:type="dxa"/>
            <w:vMerge w:val="continue"/>
            <w:tcBorders>
              <w:top w:val="nil"/>
            </w:tcBorders>
            <w:vAlign w:val="center"/>
          </w:tcPr>
          <w:p w14:paraId="1844B52E">
            <w:pPr>
              <w:keepNext w:val="0"/>
              <w:keepLines w:val="0"/>
              <w:suppressLineNumbers w:val="0"/>
              <w:spacing w:before="0" w:beforeAutospacing="0" w:after="0" w:afterAutospacing="0"/>
              <w:ind w:left="0" w:right="0"/>
              <w:rPr>
                <w:rFonts w:hint="default"/>
                <w:sz w:val="11"/>
                <w:szCs w:val="11"/>
              </w:rPr>
            </w:pPr>
          </w:p>
        </w:tc>
        <w:tc>
          <w:tcPr>
            <w:tcW w:w="7438" w:type="dxa"/>
            <w:gridSpan w:val="5"/>
            <w:vAlign w:val="center"/>
          </w:tcPr>
          <w:p w14:paraId="3B86AA7C">
            <w:pPr>
              <w:keepNext w:val="0"/>
              <w:keepLines w:val="0"/>
              <w:widowControl/>
              <w:suppressLineNumbers w:val="0"/>
              <w:spacing w:before="0" w:beforeAutospacing="0" w:after="0" w:afterAutospacing="0"/>
              <w:ind w:left="0" w:right="0"/>
              <w:jc w:val="left"/>
              <w:textAlignment w:val="center"/>
              <w:rPr>
                <w:rFonts w:hint="default"/>
                <w:sz w:val="13"/>
                <w:szCs w:val="13"/>
              </w:rPr>
            </w:pPr>
            <w:r>
              <w:rPr>
                <w:rFonts w:hint="default" w:ascii="宋体" w:hAnsi="宋体" w:eastAsia="宋体" w:cs="宋体"/>
                <w:i w:val="0"/>
                <w:iCs w:val="0"/>
                <w:color w:val="000000"/>
                <w:kern w:val="0"/>
                <w:sz w:val="18"/>
                <w:szCs w:val="18"/>
                <w:u w:val="none"/>
                <w:lang w:val="en-US" w:eastAsia="zh-CN" w:bidi="ar"/>
              </w:rPr>
              <w:t>　《关于全面推进依法治国若干重大问题的规定》和新修订的《中华人民共和国立法法》赋予了少数民族地区地方立法权。作为地方人大一项全新的工作，科学立法对促进本区域的经济社会科学发展具有重要意义。开展地方立法要做好前期筹备工作，专题学习考察先进地市立法工作经验。</w:t>
            </w:r>
          </w:p>
        </w:tc>
        <w:tc>
          <w:tcPr>
            <w:tcW w:w="5073" w:type="dxa"/>
            <w:gridSpan w:val="4"/>
            <w:vAlign w:val="center"/>
          </w:tcPr>
          <w:p w14:paraId="416158C7">
            <w:pPr>
              <w:keepNext w:val="0"/>
              <w:keepLines w:val="0"/>
              <w:widowControl/>
              <w:suppressLineNumbers w:val="0"/>
              <w:spacing w:before="0" w:beforeAutospacing="0" w:after="0" w:afterAutospacing="0"/>
              <w:ind w:left="0" w:right="0"/>
              <w:jc w:val="left"/>
              <w:textAlignment w:val="center"/>
              <w:rPr>
                <w:rFonts w:hint="eastAsia" w:ascii="黑体" w:eastAsia="黑体"/>
                <w:sz w:val="13"/>
                <w:szCs w:val="13"/>
              </w:rPr>
            </w:pPr>
            <w:r>
              <w:rPr>
                <w:rFonts w:hint="eastAsia" w:ascii="黑体" w:hAnsi="黑体" w:eastAsia="黑体" w:cs="黑体"/>
                <w:i w:val="0"/>
                <w:iCs w:val="0"/>
                <w:color w:val="000000"/>
                <w:kern w:val="0"/>
                <w:sz w:val="18"/>
                <w:szCs w:val="18"/>
                <w:u w:val="none"/>
                <w:lang w:val="en-US" w:eastAsia="zh-CN" w:bidi="ar"/>
              </w:rPr>
              <w:t>新建基层立法联系点8个，实现全州13县（市）全覆盖，新增基层备案审查联系点2个，有效打通立法民意征询“最后一公里”。一年来，完成《阿坝藏族羌族自治州实施〈四川省旅游条例〉的变通规定》《阿坝藏族羌族自治州湿地保护条例》修订案和《阿坝藏族羌族自治州气象条例》报批工作并颁布实施，推进《阿坝藏族羌族自治州生态环境保护条例》《阿坝藏族羌族自治州水资源管理条例》《阿坝藏族羌族自治州实施〈四川省《中华人民共和国草原法》实施办法〉的变通规定》等法规修改和《阿坝藏族羌族自治州野生动物植物保护条例》废止工作。在《中华人民共和国国家公园法（草案）》《四川省世界遗产保护条例（修订草案）》等25件全国、省法律法规草案意见征求中反映立法诉求，提出意见建议21条，努力将“阿坝之需”转变为“法规之能”。全年完成州人民政府报送的1件规章、3件行政规范性文件，州人民检察院报送的1件规范性文件，各县（市）人大及其常委会报送的65件决定决议的备案审查。</w:t>
            </w:r>
          </w:p>
        </w:tc>
      </w:tr>
      <w:tr w14:paraId="47165A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8" w:hRule="atLeast"/>
        </w:trPr>
        <w:tc>
          <w:tcPr>
            <w:tcW w:w="752" w:type="dxa"/>
            <w:vMerge w:val="continue"/>
            <w:tcBorders>
              <w:top w:val="nil"/>
            </w:tcBorders>
            <w:vAlign w:val="center"/>
          </w:tcPr>
          <w:p w14:paraId="382DDB7F">
            <w:pPr>
              <w:keepNext w:val="0"/>
              <w:keepLines w:val="0"/>
              <w:suppressLineNumbers w:val="0"/>
              <w:spacing w:before="0" w:beforeAutospacing="0" w:after="0" w:afterAutospacing="0"/>
              <w:ind w:left="0" w:right="0"/>
              <w:rPr>
                <w:rFonts w:hint="default"/>
                <w:sz w:val="2"/>
                <w:szCs w:val="2"/>
              </w:rPr>
            </w:pPr>
          </w:p>
        </w:tc>
        <w:tc>
          <w:tcPr>
            <w:tcW w:w="2259" w:type="dxa"/>
            <w:vAlign w:val="center"/>
          </w:tcPr>
          <w:p w14:paraId="20FB35C7">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511" w:type="dxa"/>
            <w:gridSpan w:val="9"/>
            <w:vAlign w:val="center"/>
          </w:tcPr>
          <w:p w14:paraId="79B87A51">
            <w:pPr>
              <w:keepNext w:val="0"/>
              <w:keepLines w:val="0"/>
              <w:widowControl/>
              <w:suppressLineNumbers w:val="0"/>
              <w:spacing w:before="0" w:beforeAutospacing="0" w:after="0" w:afterAutospacing="0"/>
              <w:ind w:left="0" w:right="0"/>
              <w:jc w:val="left"/>
              <w:textAlignment w:val="center"/>
              <w:rPr>
                <w:rFonts w:hint="default"/>
                <w:sz w:val="13"/>
                <w:szCs w:val="13"/>
              </w:rPr>
            </w:pPr>
            <w:r>
              <w:rPr>
                <w:rFonts w:hint="default" w:ascii="宋体" w:hAnsi="宋体" w:eastAsia="宋体" w:cs="宋体"/>
                <w:i w:val="0"/>
                <w:iCs w:val="0"/>
                <w:color w:val="000000"/>
                <w:kern w:val="0"/>
                <w:sz w:val="18"/>
                <w:szCs w:val="18"/>
                <w:u w:val="none"/>
                <w:lang w:val="en-US" w:eastAsia="zh-CN" w:bidi="ar"/>
              </w:rPr>
              <w:t>发挥人大在立法工作中的主导作用，制定、修改4部法规，报批颁布4部法规，推进重点领域立法、高质量立法</w:t>
            </w:r>
          </w:p>
        </w:tc>
      </w:tr>
      <w:tr w14:paraId="14177D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752" w:type="dxa"/>
            <w:vMerge w:val="restart"/>
            <w:vAlign w:val="center"/>
          </w:tcPr>
          <w:p w14:paraId="0E5B962A">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预算执行情况（10分）</w:t>
            </w:r>
          </w:p>
        </w:tc>
        <w:tc>
          <w:tcPr>
            <w:tcW w:w="2259" w:type="dxa"/>
            <w:vAlign w:val="center"/>
          </w:tcPr>
          <w:p w14:paraId="1B1A6A5D">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年度预算数（万元）</w:t>
            </w:r>
          </w:p>
        </w:tc>
        <w:tc>
          <w:tcPr>
            <w:tcW w:w="1953" w:type="dxa"/>
            <w:vAlign w:val="center"/>
          </w:tcPr>
          <w:p w14:paraId="24E0D1CC">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年初预算</w:t>
            </w:r>
          </w:p>
        </w:tc>
        <w:tc>
          <w:tcPr>
            <w:tcW w:w="2492" w:type="dxa"/>
            <w:vAlign w:val="center"/>
          </w:tcPr>
          <w:p w14:paraId="13B3D257">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调整后预算数</w:t>
            </w:r>
          </w:p>
        </w:tc>
        <w:tc>
          <w:tcPr>
            <w:tcW w:w="2993" w:type="dxa"/>
            <w:gridSpan w:val="3"/>
            <w:vAlign w:val="center"/>
          </w:tcPr>
          <w:p w14:paraId="289A572F">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预算执行数</w:t>
            </w:r>
          </w:p>
        </w:tc>
        <w:tc>
          <w:tcPr>
            <w:tcW w:w="1200" w:type="dxa"/>
            <w:vAlign w:val="center"/>
          </w:tcPr>
          <w:p w14:paraId="00F6C7A8">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预算执行率</w:t>
            </w:r>
          </w:p>
        </w:tc>
        <w:tc>
          <w:tcPr>
            <w:tcW w:w="555" w:type="dxa"/>
            <w:vAlign w:val="center"/>
          </w:tcPr>
          <w:p w14:paraId="0FDAA013">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权重</w:t>
            </w:r>
          </w:p>
        </w:tc>
        <w:tc>
          <w:tcPr>
            <w:tcW w:w="502" w:type="dxa"/>
            <w:vAlign w:val="center"/>
          </w:tcPr>
          <w:p w14:paraId="1DE6AC65">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得分</w:t>
            </w:r>
          </w:p>
        </w:tc>
        <w:tc>
          <w:tcPr>
            <w:tcW w:w="2816" w:type="dxa"/>
            <w:vAlign w:val="center"/>
          </w:tcPr>
          <w:p w14:paraId="27E82CD8">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原因</w:t>
            </w:r>
          </w:p>
        </w:tc>
      </w:tr>
      <w:tr w14:paraId="5008D1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752" w:type="dxa"/>
            <w:vMerge w:val="continue"/>
            <w:tcBorders>
              <w:top w:val="nil"/>
            </w:tcBorders>
            <w:vAlign w:val="center"/>
          </w:tcPr>
          <w:p w14:paraId="4507EE02">
            <w:pPr>
              <w:keepNext w:val="0"/>
              <w:keepLines w:val="0"/>
              <w:suppressLineNumbers w:val="0"/>
              <w:spacing w:before="0" w:beforeAutospacing="0" w:after="0" w:afterAutospacing="0"/>
              <w:ind w:left="0" w:right="0"/>
              <w:jc w:val="center"/>
              <w:rPr>
                <w:rFonts w:hint="default"/>
                <w:sz w:val="2"/>
                <w:szCs w:val="2"/>
              </w:rPr>
            </w:pPr>
          </w:p>
        </w:tc>
        <w:tc>
          <w:tcPr>
            <w:tcW w:w="2259" w:type="dxa"/>
            <w:vAlign w:val="center"/>
          </w:tcPr>
          <w:p w14:paraId="2AF048FF">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总额</w:t>
            </w:r>
          </w:p>
        </w:tc>
        <w:tc>
          <w:tcPr>
            <w:tcW w:w="1953" w:type="dxa"/>
            <w:vAlign w:val="center"/>
          </w:tcPr>
          <w:p w14:paraId="39432187">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30.00</w:t>
            </w:r>
          </w:p>
        </w:tc>
        <w:tc>
          <w:tcPr>
            <w:tcW w:w="2492" w:type="dxa"/>
            <w:vAlign w:val="center"/>
          </w:tcPr>
          <w:p w14:paraId="29B4BC9A">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30.00</w:t>
            </w:r>
          </w:p>
        </w:tc>
        <w:tc>
          <w:tcPr>
            <w:tcW w:w="2993" w:type="dxa"/>
            <w:gridSpan w:val="3"/>
            <w:vAlign w:val="center"/>
          </w:tcPr>
          <w:p w14:paraId="51F173CE">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30.00</w:t>
            </w:r>
          </w:p>
        </w:tc>
        <w:tc>
          <w:tcPr>
            <w:tcW w:w="1200" w:type="dxa"/>
            <w:vAlign w:val="center"/>
          </w:tcPr>
          <w:p w14:paraId="78E9BAB4">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100.00%</w:t>
            </w:r>
          </w:p>
        </w:tc>
        <w:tc>
          <w:tcPr>
            <w:tcW w:w="555" w:type="dxa"/>
            <w:vAlign w:val="center"/>
          </w:tcPr>
          <w:p w14:paraId="18263401">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10</w:t>
            </w:r>
          </w:p>
        </w:tc>
        <w:tc>
          <w:tcPr>
            <w:tcW w:w="502" w:type="dxa"/>
            <w:vAlign w:val="center"/>
          </w:tcPr>
          <w:p w14:paraId="31B616FE">
            <w:pPr>
              <w:keepNext w:val="0"/>
              <w:keepLines w:val="0"/>
              <w:widowControl/>
              <w:suppressLineNumbers w:val="0"/>
              <w:spacing w:before="0" w:beforeAutospacing="0" w:after="0" w:afterAutospacing="0"/>
              <w:ind w:left="0" w:right="0"/>
              <w:jc w:val="center"/>
              <w:textAlignment w:val="center"/>
              <w:rPr>
                <w:rFonts w:hint="default" w:ascii="Times New Roman"/>
                <w:sz w:val="18"/>
              </w:rPr>
            </w:pPr>
            <w:r>
              <w:rPr>
                <w:rFonts w:hint="default" w:ascii="宋体" w:hAnsi="宋体" w:eastAsia="宋体" w:cs="宋体"/>
                <w:i w:val="0"/>
                <w:iCs w:val="0"/>
                <w:color w:val="000000"/>
                <w:kern w:val="0"/>
                <w:sz w:val="18"/>
                <w:szCs w:val="18"/>
                <w:u w:val="none"/>
                <w:lang w:val="en-US" w:eastAsia="zh-CN" w:bidi="ar"/>
              </w:rPr>
              <w:t>10</w:t>
            </w:r>
          </w:p>
        </w:tc>
        <w:tc>
          <w:tcPr>
            <w:tcW w:w="2816" w:type="dxa"/>
            <w:vMerge w:val="restart"/>
            <w:vAlign w:val="center"/>
          </w:tcPr>
          <w:p w14:paraId="1DBF1FCE">
            <w:pPr>
              <w:keepNext w:val="0"/>
              <w:keepLines w:val="0"/>
              <w:widowControl/>
              <w:suppressLineNumbers w:val="0"/>
              <w:spacing w:before="0" w:beforeAutospacing="0" w:after="0" w:afterAutospacing="0"/>
              <w:ind w:left="0" w:right="0"/>
              <w:jc w:val="left"/>
              <w:textAlignment w:val="center"/>
              <w:rPr>
                <w:rFonts w:hint="default"/>
              </w:rPr>
            </w:pPr>
            <w:r>
              <w:rPr>
                <w:rFonts w:hint="eastAsia" w:ascii="黑体" w:hAnsi="黑体" w:eastAsia="黑体" w:cs="黑体"/>
                <w:i/>
                <w:iCs/>
                <w:color w:val="000000"/>
                <w:kern w:val="0"/>
                <w:sz w:val="18"/>
                <w:szCs w:val="18"/>
                <w:u w:val="none"/>
                <w:lang w:val="en-US" w:eastAsia="zh-CN" w:bidi="ar"/>
              </w:rPr>
              <w:t>预算执行率为100%.</w:t>
            </w:r>
          </w:p>
        </w:tc>
      </w:tr>
      <w:tr w14:paraId="75E7A2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752" w:type="dxa"/>
            <w:vMerge w:val="continue"/>
            <w:tcBorders>
              <w:top w:val="nil"/>
            </w:tcBorders>
            <w:vAlign w:val="center"/>
          </w:tcPr>
          <w:p w14:paraId="2AD2281D">
            <w:pPr>
              <w:keepNext w:val="0"/>
              <w:keepLines w:val="0"/>
              <w:suppressLineNumbers w:val="0"/>
              <w:spacing w:before="0" w:beforeAutospacing="0" w:after="0" w:afterAutospacing="0"/>
              <w:ind w:left="0" w:right="0"/>
              <w:jc w:val="center"/>
              <w:rPr>
                <w:rFonts w:hint="default"/>
                <w:sz w:val="2"/>
                <w:szCs w:val="2"/>
              </w:rPr>
            </w:pPr>
          </w:p>
        </w:tc>
        <w:tc>
          <w:tcPr>
            <w:tcW w:w="2259" w:type="dxa"/>
            <w:vAlign w:val="center"/>
          </w:tcPr>
          <w:p w14:paraId="52DC0088">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其中：财政资金</w:t>
            </w:r>
          </w:p>
        </w:tc>
        <w:tc>
          <w:tcPr>
            <w:tcW w:w="1953" w:type="dxa"/>
            <w:vAlign w:val="center"/>
          </w:tcPr>
          <w:p w14:paraId="0367FDE3">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30.00</w:t>
            </w:r>
          </w:p>
        </w:tc>
        <w:tc>
          <w:tcPr>
            <w:tcW w:w="2492" w:type="dxa"/>
            <w:vAlign w:val="center"/>
          </w:tcPr>
          <w:p w14:paraId="3B635C6C">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30.00</w:t>
            </w:r>
          </w:p>
        </w:tc>
        <w:tc>
          <w:tcPr>
            <w:tcW w:w="2993" w:type="dxa"/>
            <w:gridSpan w:val="3"/>
            <w:vAlign w:val="center"/>
          </w:tcPr>
          <w:p w14:paraId="74D2E3EA">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30.00</w:t>
            </w:r>
          </w:p>
        </w:tc>
        <w:tc>
          <w:tcPr>
            <w:tcW w:w="1200" w:type="dxa"/>
            <w:vAlign w:val="center"/>
          </w:tcPr>
          <w:p w14:paraId="38151647">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100.00%</w:t>
            </w:r>
          </w:p>
        </w:tc>
        <w:tc>
          <w:tcPr>
            <w:tcW w:w="555" w:type="dxa"/>
            <w:vAlign w:val="center"/>
          </w:tcPr>
          <w:p w14:paraId="71608C65">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502" w:type="dxa"/>
            <w:vAlign w:val="center"/>
          </w:tcPr>
          <w:p w14:paraId="39A9BC17">
            <w:pPr>
              <w:keepNext w:val="0"/>
              <w:keepLines w:val="0"/>
              <w:widowControl/>
              <w:suppressLineNumbers w:val="0"/>
              <w:spacing w:before="0" w:beforeAutospacing="0" w:after="0" w:afterAutospacing="0"/>
              <w:ind w:left="0" w:right="0"/>
              <w:jc w:val="center"/>
              <w:textAlignment w:val="center"/>
              <w:rPr>
                <w:rFonts w:hint="default"/>
                <w:sz w:val="2"/>
                <w:szCs w:val="2"/>
              </w:rPr>
            </w:pPr>
            <w:r>
              <w:rPr>
                <w:rFonts w:hint="default" w:ascii="宋体" w:hAnsi="宋体" w:eastAsia="宋体" w:cs="宋体"/>
                <w:i w:val="0"/>
                <w:iCs w:val="0"/>
                <w:color w:val="000000"/>
                <w:kern w:val="0"/>
                <w:sz w:val="18"/>
                <w:szCs w:val="18"/>
                <w:u w:val="none"/>
                <w:lang w:val="en-US" w:eastAsia="zh-CN" w:bidi="ar"/>
              </w:rPr>
              <w:t>/</w:t>
            </w:r>
          </w:p>
        </w:tc>
        <w:tc>
          <w:tcPr>
            <w:tcW w:w="2816" w:type="dxa"/>
            <w:vMerge w:val="continue"/>
            <w:vAlign w:val="center"/>
          </w:tcPr>
          <w:p w14:paraId="0B162067">
            <w:pPr>
              <w:keepNext w:val="0"/>
              <w:keepLines w:val="0"/>
              <w:suppressLineNumbers w:val="0"/>
              <w:spacing w:before="0" w:beforeAutospacing="0" w:after="0" w:afterAutospacing="0"/>
              <w:ind w:left="0" w:right="0"/>
              <w:rPr>
                <w:rFonts w:hint="default"/>
              </w:rPr>
            </w:pPr>
          </w:p>
        </w:tc>
      </w:tr>
      <w:tr w14:paraId="1E7BED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752" w:type="dxa"/>
            <w:vMerge w:val="continue"/>
            <w:tcBorders>
              <w:top w:val="nil"/>
            </w:tcBorders>
            <w:vAlign w:val="center"/>
          </w:tcPr>
          <w:p w14:paraId="546F4B66">
            <w:pPr>
              <w:keepNext w:val="0"/>
              <w:keepLines w:val="0"/>
              <w:suppressLineNumbers w:val="0"/>
              <w:spacing w:before="0" w:beforeAutospacing="0" w:after="0" w:afterAutospacing="0"/>
              <w:ind w:left="0" w:right="0"/>
              <w:jc w:val="center"/>
              <w:rPr>
                <w:rFonts w:hint="default"/>
                <w:sz w:val="2"/>
                <w:szCs w:val="2"/>
              </w:rPr>
            </w:pPr>
          </w:p>
        </w:tc>
        <w:tc>
          <w:tcPr>
            <w:tcW w:w="2259" w:type="dxa"/>
            <w:vAlign w:val="center"/>
          </w:tcPr>
          <w:p w14:paraId="55D67455">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财政专户管理资金</w:t>
            </w:r>
          </w:p>
        </w:tc>
        <w:tc>
          <w:tcPr>
            <w:tcW w:w="1953" w:type="dxa"/>
            <w:vAlign w:val="center"/>
          </w:tcPr>
          <w:p w14:paraId="527FFD73">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2492" w:type="dxa"/>
            <w:vAlign w:val="center"/>
          </w:tcPr>
          <w:p w14:paraId="583C4627">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2993" w:type="dxa"/>
            <w:gridSpan w:val="3"/>
            <w:vAlign w:val="center"/>
          </w:tcPr>
          <w:p w14:paraId="0CE0D564">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0.00</w:t>
            </w:r>
          </w:p>
        </w:tc>
        <w:tc>
          <w:tcPr>
            <w:tcW w:w="1200" w:type="dxa"/>
            <w:vAlign w:val="center"/>
          </w:tcPr>
          <w:p w14:paraId="3AC2BCF9">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555" w:type="dxa"/>
            <w:vAlign w:val="center"/>
          </w:tcPr>
          <w:p w14:paraId="0D044205">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502" w:type="dxa"/>
            <w:vAlign w:val="center"/>
          </w:tcPr>
          <w:p w14:paraId="59D3F85F">
            <w:pPr>
              <w:keepNext w:val="0"/>
              <w:keepLines w:val="0"/>
              <w:widowControl/>
              <w:suppressLineNumbers w:val="0"/>
              <w:spacing w:before="0" w:beforeAutospacing="0" w:after="0" w:afterAutospacing="0"/>
              <w:ind w:left="0" w:right="0"/>
              <w:jc w:val="center"/>
              <w:textAlignment w:val="center"/>
              <w:rPr>
                <w:rFonts w:hint="default"/>
                <w:sz w:val="2"/>
                <w:szCs w:val="2"/>
              </w:rPr>
            </w:pPr>
            <w:r>
              <w:rPr>
                <w:rFonts w:hint="default" w:ascii="宋体" w:hAnsi="宋体" w:eastAsia="宋体" w:cs="宋体"/>
                <w:i w:val="0"/>
                <w:iCs w:val="0"/>
                <w:color w:val="000000"/>
                <w:kern w:val="0"/>
                <w:sz w:val="18"/>
                <w:szCs w:val="18"/>
                <w:u w:val="none"/>
                <w:lang w:val="en-US" w:eastAsia="zh-CN" w:bidi="ar"/>
              </w:rPr>
              <w:t>/</w:t>
            </w:r>
          </w:p>
        </w:tc>
        <w:tc>
          <w:tcPr>
            <w:tcW w:w="2816" w:type="dxa"/>
            <w:vMerge w:val="continue"/>
            <w:vAlign w:val="center"/>
          </w:tcPr>
          <w:p w14:paraId="6A4546E8">
            <w:pPr>
              <w:keepNext w:val="0"/>
              <w:keepLines w:val="0"/>
              <w:suppressLineNumbers w:val="0"/>
              <w:spacing w:before="0" w:beforeAutospacing="0" w:after="0" w:afterAutospacing="0"/>
              <w:ind w:left="0" w:right="0"/>
              <w:rPr>
                <w:rFonts w:hint="default"/>
              </w:rPr>
            </w:pPr>
          </w:p>
        </w:tc>
      </w:tr>
      <w:tr w14:paraId="12D82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752" w:type="dxa"/>
            <w:vMerge w:val="continue"/>
            <w:tcBorders>
              <w:top w:val="nil"/>
            </w:tcBorders>
            <w:vAlign w:val="center"/>
          </w:tcPr>
          <w:p w14:paraId="663FF9E4">
            <w:pPr>
              <w:keepNext w:val="0"/>
              <w:keepLines w:val="0"/>
              <w:suppressLineNumbers w:val="0"/>
              <w:spacing w:before="0" w:beforeAutospacing="0" w:after="0" w:afterAutospacing="0"/>
              <w:ind w:left="0" w:right="0"/>
              <w:jc w:val="center"/>
              <w:rPr>
                <w:rFonts w:hint="default"/>
                <w:sz w:val="2"/>
                <w:szCs w:val="2"/>
              </w:rPr>
            </w:pPr>
          </w:p>
        </w:tc>
        <w:tc>
          <w:tcPr>
            <w:tcW w:w="2259" w:type="dxa"/>
            <w:vAlign w:val="center"/>
          </w:tcPr>
          <w:p w14:paraId="6BA17E3A">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单位资金</w:t>
            </w:r>
          </w:p>
        </w:tc>
        <w:tc>
          <w:tcPr>
            <w:tcW w:w="1953" w:type="dxa"/>
            <w:vAlign w:val="center"/>
          </w:tcPr>
          <w:p w14:paraId="719AB903">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2492" w:type="dxa"/>
            <w:vAlign w:val="center"/>
          </w:tcPr>
          <w:p w14:paraId="06C82723">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2993" w:type="dxa"/>
            <w:gridSpan w:val="3"/>
            <w:vAlign w:val="center"/>
          </w:tcPr>
          <w:p w14:paraId="785AE549">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0.00</w:t>
            </w:r>
          </w:p>
        </w:tc>
        <w:tc>
          <w:tcPr>
            <w:tcW w:w="1200" w:type="dxa"/>
            <w:vAlign w:val="center"/>
          </w:tcPr>
          <w:p w14:paraId="5359CE5C">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0.00%</w:t>
            </w:r>
          </w:p>
        </w:tc>
        <w:tc>
          <w:tcPr>
            <w:tcW w:w="555" w:type="dxa"/>
            <w:vAlign w:val="center"/>
          </w:tcPr>
          <w:p w14:paraId="790A4248">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502" w:type="dxa"/>
            <w:vAlign w:val="center"/>
          </w:tcPr>
          <w:p w14:paraId="0C248B7C">
            <w:pPr>
              <w:keepNext w:val="0"/>
              <w:keepLines w:val="0"/>
              <w:widowControl/>
              <w:suppressLineNumbers w:val="0"/>
              <w:spacing w:before="0" w:beforeAutospacing="0" w:after="0" w:afterAutospacing="0"/>
              <w:ind w:left="0" w:right="0"/>
              <w:jc w:val="center"/>
              <w:textAlignment w:val="center"/>
              <w:rPr>
                <w:rFonts w:hint="default"/>
                <w:sz w:val="2"/>
                <w:szCs w:val="2"/>
              </w:rPr>
            </w:pPr>
            <w:r>
              <w:rPr>
                <w:rFonts w:hint="default" w:ascii="宋体" w:hAnsi="宋体" w:eastAsia="宋体" w:cs="宋体"/>
                <w:i w:val="0"/>
                <w:iCs w:val="0"/>
                <w:color w:val="000000"/>
                <w:kern w:val="0"/>
                <w:sz w:val="18"/>
                <w:szCs w:val="18"/>
                <w:u w:val="none"/>
                <w:lang w:val="en-US" w:eastAsia="zh-CN" w:bidi="ar"/>
              </w:rPr>
              <w:t>/</w:t>
            </w:r>
          </w:p>
        </w:tc>
        <w:tc>
          <w:tcPr>
            <w:tcW w:w="2816" w:type="dxa"/>
            <w:vMerge w:val="continue"/>
            <w:vAlign w:val="center"/>
          </w:tcPr>
          <w:p w14:paraId="36D8E5FF">
            <w:pPr>
              <w:keepNext w:val="0"/>
              <w:keepLines w:val="0"/>
              <w:suppressLineNumbers w:val="0"/>
              <w:spacing w:before="0" w:beforeAutospacing="0" w:after="0" w:afterAutospacing="0"/>
              <w:ind w:left="0" w:right="0"/>
              <w:rPr>
                <w:rFonts w:hint="default"/>
              </w:rPr>
            </w:pPr>
          </w:p>
        </w:tc>
      </w:tr>
      <w:tr w14:paraId="40322D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752" w:type="dxa"/>
            <w:vMerge w:val="continue"/>
            <w:tcBorders>
              <w:top w:val="nil"/>
            </w:tcBorders>
            <w:vAlign w:val="center"/>
          </w:tcPr>
          <w:p w14:paraId="0256B2A0">
            <w:pPr>
              <w:keepNext w:val="0"/>
              <w:keepLines w:val="0"/>
              <w:suppressLineNumbers w:val="0"/>
              <w:spacing w:before="0" w:beforeAutospacing="0" w:after="0" w:afterAutospacing="0"/>
              <w:ind w:left="0" w:right="0"/>
              <w:jc w:val="center"/>
              <w:rPr>
                <w:rFonts w:hint="default"/>
                <w:sz w:val="2"/>
                <w:szCs w:val="2"/>
              </w:rPr>
            </w:pPr>
          </w:p>
        </w:tc>
        <w:tc>
          <w:tcPr>
            <w:tcW w:w="2259" w:type="dxa"/>
            <w:vAlign w:val="center"/>
          </w:tcPr>
          <w:p w14:paraId="2CA18DDA">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其他资金</w:t>
            </w:r>
          </w:p>
        </w:tc>
        <w:tc>
          <w:tcPr>
            <w:tcW w:w="1953" w:type="dxa"/>
            <w:vAlign w:val="center"/>
          </w:tcPr>
          <w:p w14:paraId="35F50E5C">
            <w:pPr>
              <w:keepNext w:val="0"/>
              <w:keepLines w:val="0"/>
              <w:suppressLineNumbers w:val="0"/>
              <w:spacing w:before="0" w:beforeAutospacing="0" w:after="0" w:afterAutospacing="0"/>
              <w:ind w:left="0" w:right="0"/>
              <w:jc w:val="center"/>
              <w:rPr>
                <w:rFonts w:hint="default" w:ascii="Times New Roman"/>
                <w:sz w:val="18"/>
              </w:rPr>
            </w:pPr>
          </w:p>
        </w:tc>
        <w:tc>
          <w:tcPr>
            <w:tcW w:w="2492" w:type="dxa"/>
            <w:vAlign w:val="center"/>
          </w:tcPr>
          <w:p w14:paraId="2DCCC37A">
            <w:pPr>
              <w:keepNext w:val="0"/>
              <w:keepLines w:val="0"/>
              <w:suppressLineNumbers w:val="0"/>
              <w:spacing w:before="0" w:beforeAutospacing="0" w:after="0" w:afterAutospacing="0"/>
              <w:ind w:left="0" w:right="0"/>
              <w:jc w:val="center"/>
              <w:rPr>
                <w:rFonts w:hint="default" w:ascii="Times New Roman"/>
                <w:sz w:val="18"/>
              </w:rPr>
            </w:pPr>
          </w:p>
        </w:tc>
        <w:tc>
          <w:tcPr>
            <w:tcW w:w="2993" w:type="dxa"/>
            <w:gridSpan w:val="3"/>
            <w:vAlign w:val="center"/>
          </w:tcPr>
          <w:p w14:paraId="7539046D">
            <w:pPr>
              <w:keepNext w:val="0"/>
              <w:keepLines w:val="0"/>
              <w:suppressLineNumbers w:val="0"/>
              <w:spacing w:before="0" w:beforeAutospacing="0" w:after="0" w:afterAutospacing="0"/>
              <w:ind w:left="0" w:right="0"/>
              <w:jc w:val="center"/>
              <w:rPr>
                <w:rFonts w:hint="default"/>
              </w:rPr>
            </w:pPr>
          </w:p>
        </w:tc>
        <w:tc>
          <w:tcPr>
            <w:tcW w:w="1200" w:type="dxa"/>
            <w:vAlign w:val="center"/>
          </w:tcPr>
          <w:p w14:paraId="779365CE">
            <w:pPr>
              <w:keepNext w:val="0"/>
              <w:keepLines w:val="0"/>
              <w:suppressLineNumbers w:val="0"/>
              <w:spacing w:before="0" w:beforeAutospacing="0" w:after="0" w:afterAutospacing="0"/>
              <w:ind w:left="0" w:right="0"/>
              <w:jc w:val="center"/>
              <w:rPr>
                <w:rFonts w:hint="default" w:ascii="Times New Roman"/>
                <w:sz w:val="18"/>
              </w:rPr>
            </w:pPr>
          </w:p>
        </w:tc>
        <w:tc>
          <w:tcPr>
            <w:tcW w:w="555" w:type="dxa"/>
            <w:vAlign w:val="center"/>
          </w:tcPr>
          <w:p w14:paraId="2F3D9C27">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w:t>
            </w:r>
          </w:p>
        </w:tc>
        <w:tc>
          <w:tcPr>
            <w:tcW w:w="502" w:type="dxa"/>
            <w:vAlign w:val="center"/>
          </w:tcPr>
          <w:p w14:paraId="2F9F8FA4">
            <w:pPr>
              <w:keepNext w:val="0"/>
              <w:keepLines w:val="0"/>
              <w:widowControl/>
              <w:suppressLineNumbers w:val="0"/>
              <w:spacing w:before="0" w:beforeAutospacing="0" w:after="0" w:afterAutospacing="0"/>
              <w:ind w:left="0" w:right="0"/>
              <w:jc w:val="center"/>
              <w:textAlignment w:val="center"/>
              <w:rPr>
                <w:rFonts w:hint="default"/>
                <w:sz w:val="2"/>
                <w:szCs w:val="2"/>
              </w:rPr>
            </w:pPr>
            <w:r>
              <w:rPr>
                <w:rFonts w:hint="default" w:ascii="宋体" w:hAnsi="宋体" w:eastAsia="宋体" w:cs="宋体"/>
                <w:i w:val="0"/>
                <w:iCs w:val="0"/>
                <w:color w:val="000000"/>
                <w:kern w:val="0"/>
                <w:sz w:val="18"/>
                <w:szCs w:val="18"/>
                <w:u w:val="none"/>
                <w:lang w:val="en-US" w:eastAsia="zh-CN" w:bidi="ar"/>
              </w:rPr>
              <w:t>/</w:t>
            </w:r>
          </w:p>
        </w:tc>
        <w:tc>
          <w:tcPr>
            <w:tcW w:w="2816" w:type="dxa"/>
            <w:vMerge w:val="continue"/>
            <w:vAlign w:val="center"/>
          </w:tcPr>
          <w:p w14:paraId="28E559EC">
            <w:pPr>
              <w:keepNext w:val="0"/>
              <w:keepLines w:val="0"/>
              <w:suppressLineNumbers w:val="0"/>
              <w:spacing w:before="0" w:beforeAutospacing="0" w:after="0" w:afterAutospacing="0"/>
              <w:ind w:left="0" w:right="0"/>
              <w:rPr>
                <w:rFonts w:hint="default"/>
              </w:rPr>
            </w:pPr>
          </w:p>
        </w:tc>
      </w:tr>
      <w:tr w14:paraId="1146DA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752" w:type="dxa"/>
            <w:vMerge w:val="restart"/>
            <w:vAlign w:val="center"/>
          </w:tcPr>
          <w:p w14:paraId="70C7FCCD">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绩效指标（90分）</w:t>
            </w:r>
          </w:p>
        </w:tc>
        <w:tc>
          <w:tcPr>
            <w:tcW w:w="2259" w:type="dxa"/>
            <w:vAlign w:val="center"/>
          </w:tcPr>
          <w:p w14:paraId="027CEADF">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一级指标</w:t>
            </w:r>
          </w:p>
        </w:tc>
        <w:tc>
          <w:tcPr>
            <w:tcW w:w="1953" w:type="dxa"/>
            <w:vAlign w:val="center"/>
          </w:tcPr>
          <w:p w14:paraId="50780C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0"/>
                <w:szCs w:val="10"/>
                <w:lang w:val="en-US" w:eastAsia="zh-CN" w:bidi="ar-SA"/>
              </w:rPr>
            </w:pPr>
            <w:r>
              <w:rPr>
                <w:rFonts w:hint="default" w:ascii="宋体" w:hAnsi="宋体" w:eastAsia="宋体" w:cs="宋体"/>
                <w:i w:val="0"/>
                <w:iCs w:val="0"/>
                <w:color w:val="000000"/>
                <w:kern w:val="0"/>
                <w:sz w:val="18"/>
                <w:szCs w:val="18"/>
                <w:u w:val="none"/>
                <w:lang w:val="en-US" w:eastAsia="zh-CN" w:bidi="ar"/>
              </w:rPr>
              <w:t>二级指标</w:t>
            </w:r>
          </w:p>
        </w:tc>
        <w:tc>
          <w:tcPr>
            <w:tcW w:w="2492" w:type="dxa"/>
            <w:vAlign w:val="center"/>
          </w:tcPr>
          <w:p w14:paraId="348A3788">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三级指标</w:t>
            </w:r>
          </w:p>
        </w:tc>
        <w:tc>
          <w:tcPr>
            <w:tcW w:w="573" w:type="dxa"/>
            <w:vAlign w:val="center"/>
          </w:tcPr>
          <w:p w14:paraId="112B46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0"/>
                <w:szCs w:val="10"/>
                <w:lang w:val="en-US" w:eastAsia="zh-CN" w:bidi="ar-SA"/>
              </w:rPr>
            </w:pPr>
            <w:r>
              <w:rPr>
                <w:rFonts w:hint="default" w:ascii="宋体" w:hAnsi="宋体" w:eastAsia="宋体" w:cs="宋体"/>
                <w:i w:val="0"/>
                <w:iCs w:val="0"/>
                <w:color w:val="000000"/>
                <w:kern w:val="0"/>
                <w:sz w:val="18"/>
                <w:szCs w:val="18"/>
                <w:u w:val="none"/>
                <w:lang w:val="en-US" w:eastAsia="zh-CN" w:bidi="ar"/>
              </w:rPr>
              <w:t>指标性质</w:t>
            </w:r>
          </w:p>
        </w:tc>
        <w:tc>
          <w:tcPr>
            <w:tcW w:w="1846" w:type="dxa"/>
            <w:vAlign w:val="center"/>
          </w:tcPr>
          <w:p w14:paraId="60867D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0"/>
                <w:szCs w:val="10"/>
                <w:lang w:val="en-US" w:eastAsia="zh-CN" w:bidi="ar-SA"/>
              </w:rPr>
            </w:pPr>
            <w:r>
              <w:rPr>
                <w:rFonts w:hint="default" w:ascii="宋体" w:hAnsi="宋体" w:eastAsia="宋体" w:cs="宋体"/>
                <w:i w:val="0"/>
                <w:iCs w:val="0"/>
                <w:color w:val="000000"/>
                <w:kern w:val="0"/>
                <w:sz w:val="18"/>
                <w:szCs w:val="18"/>
                <w:u w:val="none"/>
                <w:lang w:val="en-US" w:eastAsia="zh-CN" w:bidi="ar"/>
              </w:rPr>
              <w:t>指标值</w:t>
            </w:r>
          </w:p>
        </w:tc>
        <w:tc>
          <w:tcPr>
            <w:tcW w:w="574" w:type="dxa"/>
            <w:vAlign w:val="center"/>
          </w:tcPr>
          <w:p w14:paraId="3C4C38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0"/>
                <w:szCs w:val="10"/>
                <w:lang w:val="en-US" w:eastAsia="zh-CN" w:bidi="ar-SA"/>
              </w:rPr>
            </w:pPr>
            <w:r>
              <w:rPr>
                <w:rFonts w:hint="default" w:ascii="宋体" w:hAnsi="宋体" w:eastAsia="宋体" w:cs="宋体"/>
                <w:i w:val="0"/>
                <w:iCs w:val="0"/>
                <w:color w:val="000000"/>
                <w:kern w:val="0"/>
                <w:sz w:val="18"/>
                <w:szCs w:val="18"/>
                <w:u w:val="none"/>
                <w:lang w:val="en-US" w:eastAsia="zh-CN" w:bidi="ar"/>
              </w:rPr>
              <w:t>度量单位</w:t>
            </w:r>
          </w:p>
        </w:tc>
        <w:tc>
          <w:tcPr>
            <w:tcW w:w="1200" w:type="dxa"/>
            <w:vAlign w:val="center"/>
          </w:tcPr>
          <w:p w14:paraId="45DBDB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0"/>
                <w:szCs w:val="10"/>
                <w:lang w:val="en-US" w:eastAsia="zh-CN" w:bidi="ar-SA"/>
              </w:rPr>
            </w:pPr>
            <w:r>
              <w:rPr>
                <w:rFonts w:hint="default" w:ascii="宋体" w:hAnsi="宋体" w:eastAsia="宋体" w:cs="宋体"/>
                <w:i w:val="0"/>
                <w:iCs w:val="0"/>
                <w:color w:val="000000"/>
                <w:kern w:val="0"/>
                <w:sz w:val="18"/>
                <w:szCs w:val="18"/>
                <w:u w:val="none"/>
                <w:lang w:val="en-US" w:eastAsia="zh-CN" w:bidi="ar"/>
              </w:rPr>
              <w:t>完成值</w:t>
            </w:r>
          </w:p>
        </w:tc>
        <w:tc>
          <w:tcPr>
            <w:tcW w:w="555" w:type="dxa"/>
            <w:vAlign w:val="center"/>
          </w:tcPr>
          <w:p w14:paraId="07C81A3B">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权重</w:t>
            </w:r>
          </w:p>
        </w:tc>
        <w:tc>
          <w:tcPr>
            <w:tcW w:w="502" w:type="dxa"/>
            <w:vAlign w:val="center"/>
          </w:tcPr>
          <w:p w14:paraId="50977B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0"/>
                <w:szCs w:val="10"/>
                <w:lang w:val="en-US" w:eastAsia="zh-CN" w:bidi="ar-SA"/>
              </w:rPr>
            </w:pPr>
            <w:r>
              <w:rPr>
                <w:rFonts w:hint="default" w:ascii="宋体" w:hAnsi="宋体" w:eastAsia="宋体" w:cs="宋体"/>
                <w:i w:val="0"/>
                <w:iCs w:val="0"/>
                <w:color w:val="000000"/>
                <w:kern w:val="0"/>
                <w:sz w:val="18"/>
                <w:szCs w:val="18"/>
                <w:u w:val="none"/>
                <w:lang w:val="en-US" w:eastAsia="zh-CN" w:bidi="ar"/>
              </w:rPr>
              <w:t>得分</w:t>
            </w:r>
          </w:p>
        </w:tc>
        <w:tc>
          <w:tcPr>
            <w:tcW w:w="2816" w:type="dxa"/>
            <w:vAlign w:val="center"/>
          </w:tcPr>
          <w:p w14:paraId="001463EB">
            <w:pPr>
              <w:keepNext w:val="0"/>
              <w:keepLines w:val="0"/>
              <w:widowControl/>
              <w:suppressLineNumbers w:val="0"/>
              <w:spacing w:before="0" w:beforeAutospacing="0" w:after="0" w:afterAutospacing="0"/>
              <w:ind w:left="0" w:right="0"/>
              <w:jc w:val="center"/>
              <w:textAlignment w:val="center"/>
              <w:rPr>
                <w:rFonts w:hint="default"/>
              </w:rPr>
            </w:pPr>
            <w:r>
              <w:rPr>
                <w:rFonts w:hint="default" w:ascii="宋体" w:hAnsi="宋体" w:eastAsia="宋体" w:cs="宋体"/>
                <w:i w:val="0"/>
                <w:iCs w:val="0"/>
                <w:color w:val="000000"/>
                <w:kern w:val="0"/>
                <w:sz w:val="18"/>
                <w:szCs w:val="18"/>
                <w:u w:val="none"/>
                <w:lang w:val="en-US" w:eastAsia="zh-CN" w:bidi="ar"/>
              </w:rPr>
              <w:t>未完成原因分析</w:t>
            </w:r>
          </w:p>
        </w:tc>
      </w:tr>
      <w:tr w14:paraId="6452EA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752" w:type="dxa"/>
            <w:vMerge w:val="continue"/>
            <w:tcBorders>
              <w:top w:val="nil"/>
            </w:tcBorders>
            <w:vAlign w:val="center"/>
          </w:tcPr>
          <w:p w14:paraId="2D1DB10E">
            <w:pPr>
              <w:keepNext w:val="0"/>
              <w:keepLines w:val="0"/>
              <w:suppressLineNumbers w:val="0"/>
              <w:spacing w:before="0" w:beforeAutospacing="0" w:after="0" w:afterAutospacing="0"/>
              <w:ind w:left="0" w:right="0"/>
              <w:jc w:val="center"/>
              <w:rPr>
                <w:rFonts w:hint="default"/>
                <w:sz w:val="2"/>
                <w:szCs w:val="2"/>
              </w:rPr>
            </w:pPr>
          </w:p>
        </w:tc>
        <w:tc>
          <w:tcPr>
            <w:tcW w:w="2259" w:type="dxa"/>
            <w:vMerge w:val="restart"/>
            <w:vAlign w:val="center"/>
          </w:tcPr>
          <w:p w14:paraId="25778CFA">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产出指标</w:t>
            </w:r>
          </w:p>
        </w:tc>
        <w:tc>
          <w:tcPr>
            <w:tcW w:w="1953" w:type="dxa"/>
            <w:vAlign w:val="center"/>
          </w:tcPr>
          <w:p w14:paraId="6110A9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0"/>
                <w:szCs w:val="10"/>
                <w:lang w:val="en-US" w:eastAsia="zh-CN" w:bidi="ar-SA"/>
              </w:rPr>
            </w:pPr>
            <w:r>
              <w:rPr>
                <w:rFonts w:hint="default" w:ascii="宋体" w:hAnsi="宋体" w:eastAsia="宋体" w:cs="宋体"/>
                <w:i w:val="0"/>
                <w:iCs w:val="0"/>
                <w:color w:val="000000"/>
                <w:kern w:val="0"/>
                <w:sz w:val="18"/>
                <w:szCs w:val="18"/>
                <w:u w:val="none"/>
                <w:lang w:val="en-US" w:eastAsia="zh-CN" w:bidi="ar"/>
              </w:rPr>
              <w:t>数量指标</w:t>
            </w:r>
          </w:p>
        </w:tc>
        <w:tc>
          <w:tcPr>
            <w:tcW w:w="2492" w:type="dxa"/>
            <w:vAlign w:val="center"/>
          </w:tcPr>
          <w:p w14:paraId="2F883111">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立法考察场次</w:t>
            </w:r>
          </w:p>
        </w:tc>
        <w:tc>
          <w:tcPr>
            <w:tcW w:w="573" w:type="dxa"/>
            <w:vAlign w:val="center"/>
          </w:tcPr>
          <w:p w14:paraId="6CF5C96E">
            <w:pPr>
              <w:keepNext w:val="0"/>
              <w:keepLines w:val="0"/>
              <w:widowControl/>
              <w:suppressLineNumbers w:val="0"/>
              <w:spacing w:before="0" w:beforeAutospacing="0" w:after="0" w:afterAutospacing="0"/>
              <w:ind w:left="0" w:right="0"/>
              <w:jc w:val="center"/>
              <w:textAlignment w:val="center"/>
              <w:rPr>
                <w:rFonts w:hint="default"/>
                <w:sz w:val="10"/>
                <w:szCs w:val="10"/>
                <w:lang w:val="en-US" w:eastAsia="zh-CN"/>
              </w:rPr>
            </w:pPr>
            <w:r>
              <w:rPr>
                <w:rFonts w:hint="default" w:ascii="宋体" w:hAnsi="宋体" w:eastAsia="宋体" w:cs="宋体"/>
                <w:i w:val="0"/>
                <w:iCs w:val="0"/>
                <w:color w:val="000000"/>
                <w:kern w:val="0"/>
                <w:sz w:val="18"/>
                <w:szCs w:val="18"/>
                <w:u w:val="none"/>
                <w:lang w:val="en-US" w:eastAsia="zh-CN" w:bidi="ar"/>
              </w:rPr>
              <w:t>≥</w:t>
            </w:r>
          </w:p>
        </w:tc>
        <w:tc>
          <w:tcPr>
            <w:tcW w:w="1846" w:type="dxa"/>
            <w:vAlign w:val="center"/>
          </w:tcPr>
          <w:p w14:paraId="637027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0"/>
                <w:szCs w:val="10"/>
                <w:lang w:val="en-US" w:eastAsia="zh-CN" w:bidi="ar-SA"/>
              </w:rPr>
            </w:pPr>
            <w:r>
              <w:rPr>
                <w:rFonts w:hint="default" w:ascii="宋体" w:hAnsi="宋体" w:eastAsia="宋体" w:cs="宋体"/>
                <w:i w:val="0"/>
                <w:iCs w:val="0"/>
                <w:color w:val="000000"/>
                <w:kern w:val="0"/>
                <w:sz w:val="18"/>
                <w:szCs w:val="18"/>
                <w:u w:val="none"/>
                <w:lang w:val="en-US" w:eastAsia="zh-CN" w:bidi="ar"/>
              </w:rPr>
              <w:t>5</w:t>
            </w:r>
          </w:p>
        </w:tc>
        <w:tc>
          <w:tcPr>
            <w:tcW w:w="574" w:type="dxa"/>
            <w:vAlign w:val="center"/>
          </w:tcPr>
          <w:p w14:paraId="370168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0"/>
                <w:szCs w:val="10"/>
                <w:lang w:val="en-US" w:eastAsia="zh-CN" w:bidi="ar-SA"/>
              </w:rPr>
            </w:pPr>
            <w:r>
              <w:rPr>
                <w:rFonts w:hint="default" w:ascii="宋体" w:hAnsi="宋体" w:eastAsia="宋体" w:cs="宋体"/>
                <w:i w:val="0"/>
                <w:iCs w:val="0"/>
                <w:color w:val="000000"/>
                <w:kern w:val="0"/>
                <w:sz w:val="18"/>
                <w:szCs w:val="18"/>
                <w:u w:val="none"/>
                <w:lang w:val="en-US" w:eastAsia="zh-CN" w:bidi="ar"/>
              </w:rPr>
              <w:t>场次</w:t>
            </w:r>
          </w:p>
        </w:tc>
        <w:tc>
          <w:tcPr>
            <w:tcW w:w="1200" w:type="dxa"/>
            <w:vAlign w:val="center"/>
          </w:tcPr>
          <w:p w14:paraId="109957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0"/>
                <w:szCs w:val="10"/>
                <w:lang w:val="en-US" w:eastAsia="zh-CN" w:bidi="ar-SA"/>
              </w:rPr>
            </w:pPr>
            <w:r>
              <w:rPr>
                <w:rFonts w:hint="eastAsia" w:ascii="微软雅黑" w:hAnsi="微软雅黑" w:eastAsia="微软雅黑" w:cs="微软雅黑"/>
                <w:i/>
                <w:iCs/>
                <w:color w:val="000000"/>
                <w:kern w:val="0"/>
                <w:sz w:val="16"/>
                <w:szCs w:val="16"/>
                <w:u w:val="none"/>
                <w:lang w:val="en-US" w:eastAsia="zh-CN" w:bidi="ar"/>
              </w:rPr>
              <w:t>5</w:t>
            </w:r>
          </w:p>
        </w:tc>
        <w:tc>
          <w:tcPr>
            <w:tcW w:w="555" w:type="dxa"/>
            <w:vAlign w:val="center"/>
          </w:tcPr>
          <w:p w14:paraId="47CC4E21">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10</w:t>
            </w:r>
          </w:p>
        </w:tc>
        <w:tc>
          <w:tcPr>
            <w:tcW w:w="502" w:type="dxa"/>
            <w:vAlign w:val="center"/>
          </w:tcPr>
          <w:p w14:paraId="44191D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0"/>
                <w:szCs w:val="10"/>
                <w:lang w:val="en-US" w:eastAsia="zh-CN" w:bidi="ar-SA"/>
              </w:rPr>
            </w:pPr>
            <w:r>
              <w:rPr>
                <w:rFonts w:hint="default" w:ascii="宋体" w:hAnsi="宋体" w:eastAsia="宋体" w:cs="宋体"/>
                <w:i w:val="0"/>
                <w:iCs w:val="0"/>
                <w:color w:val="000000"/>
                <w:kern w:val="0"/>
                <w:sz w:val="18"/>
                <w:szCs w:val="18"/>
                <w:u w:val="none"/>
                <w:lang w:val="en-US" w:eastAsia="zh-CN" w:bidi="ar"/>
              </w:rPr>
              <w:t>9</w:t>
            </w:r>
          </w:p>
        </w:tc>
        <w:tc>
          <w:tcPr>
            <w:tcW w:w="2816" w:type="dxa"/>
            <w:vAlign w:val="center"/>
          </w:tcPr>
          <w:p w14:paraId="62627BF0">
            <w:pPr>
              <w:keepNext w:val="0"/>
              <w:keepLines w:val="0"/>
              <w:suppressLineNumbers w:val="0"/>
              <w:spacing w:before="0" w:beforeAutospacing="0" w:after="0" w:afterAutospacing="0"/>
              <w:ind w:left="0" w:right="0"/>
              <w:jc w:val="center"/>
              <w:rPr>
                <w:rFonts w:hint="default"/>
              </w:rPr>
            </w:pPr>
          </w:p>
        </w:tc>
      </w:tr>
      <w:tr w14:paraId="54FA21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752" w:type="dxa"/>
            <w:vMerge w:val="continue"/>
            <w:tcBorders>
              <w:top w:val="nil"/>
            </w:tcBorders>
            <w:vAlign w:val="center"/>
          </w:tcPr>
          <w:p w14:paraId="7CE7DBAE">
            <w:pPr>
              <w:keepNext w:val="0"/>
              <w:keepLines w:val="0"/>
              <w:suppressLineNumbers w:val="0"/>
              <w:spacing w:before="0" w:beforeAutospacing="0" w:after="0" w:afterAutospacing="0"/>
              <w:ind w:left="0" w:right="0"/>
              <w:jc w:val="center"/>
              <w:rPr>
                <w:rFonts w:hint="default"/>
                <w:sz w:val="2"/>
                <w:szCs w:val="2"/>
              </w:rPr>
            </w:pPr>
          </w:p>
        </w:tc>
        <w:tc>
          <w:tcPr>
            <w:tcW w:w="2259" w:type="dxa"/>
            <w:vMerge w:val="continue"/>
            <w:tcBorders>
              <w:top w:val="nil"/>
            </w:tcBorders>
            <w:vAlign w:val="center"/>
          </w:tcPr>
          <w:p w14:paraId="349DC6FC">
            <w:pPr>
              <w:keepNext w:val="0"/>
              <w:keepLines w:val="0"/>
              <w:suppressLineNumbers w:val="0"/>
              <w:spacing w:before="0" w:beforeAutospacing="0" w:after="0" w:afterAutospacing="0"/>
              <w:ind w:left="0" w:right="0"/>
              <w:jc w:val="center"/>
              <w:rPr>
                <w:rFonts w:hint="default"/>
                <w:sz w:val="10"/>
                <w:szCs w:val="10"/>
              </w:rPr>
            </w:pPr>
          </w:p>
        </w:tc>
        <w:tc>
          <w:tcPr>
            <w:tcW w:w="1953" w:type="dxa"/>
            <w:vMerge w:val="restart"/>
            <w:vAlign w:val="center"/>
          </w:tcPr>
          <w:p w14:paraId="0004EF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0"/>
                <w:szCs w:val="10"/>
                <w:lang w:val="en-US" w:eastAsia="zh-CN" w:bidi="ar-SA"/>
              </w:rPr>
            </w:pPr>
            <w:r>
              <w:rPr>
                <w:rFonts w:hint="default" w:ascii="宋体" w:hAnsi="宋体" w:eastAsia="宋体" w:cs="宋体"/>
                <w:i w:val="0"/>
                <w:iCs w:val="0"/>
                <w:color w:val="000000"/>
                <w:kern w:val="0"/>
                <w:sz w:val="18"/>
                <w:szCs w:val="18"/>
                <w:u w:val="none"/>
                <w:lang w:val="en-US" w:eastAsia="zh-CN" w:bidi="ar"/>
              </w:rPr>
              <w:t>质量指标</w:t>
            </w:r>
          </w:p>
        </w:tc>
        <w:tc>
          <w:tcPr>
            <w:tcW w:w="2492" w:type="dxa"/>
            <w:vAlign w:val="center"/>
          </w:tcPr>
          <w:p w14:paraId="2FB9DFA9">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支出合规性</w:t>
            </w:r>
          </w:p>
        </w:tc>
        <w:tc>
          <w:tcPr>
            <w:tcW w:w="573" w:type="dxa"/>
            <w:vAlign w:val="center"/>
          </w:tcPr>
          <w:p w14:paraId="6A9F3C6E">
            <w:pPr>
              <w:keepNext w:val="0"/>
              <w:keepLines w:val="0"/>
              <w:widowControl/>
              <w:suppressLineNumbers w:val="0"/>
              <w:spacing w:before="0" w:beforeAutospacing="0" w:after="0" w:afterAutospacing="0"/>
              <w:ind w:left="0" w:right="0"/>
              <w:jc w:val="center"/>
              <w:textAlignment w:val="center"/>
              <w:rPr>
                <w:rFonts w:hint="default"/>
                <w:sz w:val="10"/>
                <w:szCs w:val="10"/>
                <w:lang w:val="en-US" w:eastAsia="zh-CN"/>
              </w:rPr>
            </w:pPr>
            <w:r>
              <w:rPr>
                <w:rFonts w:hint="default" w:ascii="宋体" w:hAnsi="宋体" w:eastAsia="宋体" w:cs="宋体"/>
                <w:i w:val="0"/>
                <w:iCs w:val="0"/>
                <w:color w:val="000000"/>
                <w:kern w:val="0"/>
                <w:sz w:val="18"/>
                <w:szCs w:val="18"/>
                <w:u w:val="none"/>
                <w:lang w:val="en-US" w:eastAsia="zh-CN" w:bidi="ar"/>
              </w:rPr>
              <w:t>定性</w:t>
            </w:r>
          </w:p>
        </w:tc>
        <w:tc>
          <w:tcPr>
            <w:tcW w:w="1846" w:type="dxa"/>
            <w:vAlign w:val="center"/>
          </w:tcPr>
          <w:p w14:paraId="6C2F2A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0"/>
                <w:szCs w:val="10"/>
                <w:lang w:val="en-US" w:eastAsia="zh-CN" w:bidi="ar-SA"/>
              </w:rPr>
            </w:pPr>
            <w:r>
              <w:rPr>
                <w:rFonts w:hint="default" w:ascii="宋体" w:hAnsi="宋体" w:eastAsia="宋体" w:cs="宋体"/>
                <w:i w:val="0"/>
                <w:iCs w:val="0"/>
                <w:color w:val="000000"/>
                <w:kern w:val="0"/>
                <w:sz w:val="18"/>
                <w:szCs w:val="18"/>
                <w:u w:val="none"/>
                <w:lang w:val="en-US" w:eastAsia="zh-CN" w:bidi="ar"/>
              </w:rPr>
              <w:t>合规</w:t>
            </w:r>
          </w:p>
        </w:tc>
        <w:tc>
          <w:tcPr>
            <w:tcW w:w="574" w:type="dxa"/>
            <w:vAlign w:val="center"/>
          </w:tcPr>
          <w:p w14:paraId="0436296A">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10"/>
                <w:szCs w:val="10"/>
                <w:lang w:val="en-US" w:eastAsia="zh-CN" w:bidi="ar-SA"/>
              </w:rPr>
            </w:pPr>
          </w:p>
        </w:tc>
        <w:tc>
          <w:tcPr>
            <w:tcW w:w="1200" w:type="dxa"/>
            <w:vAlign w:val="center"/>
          </w:tcPr>
          <w:p w14:paraId="2849D3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0"/>
                <w:szCs w:val="10"/>
                <w:lang w:val="en-US" w:eastAsia="zh-CN" w:bidi="ar-SA"/>
              </w:rPr>
            </w:pPr>
            <w:r>
              <w:rPr>
                <w:rFonts w:hint="eastAsia" w:ascii="微软雅黑" w:hAnsi="微软雅黑" w:eastAsia="微软雅黑" w:cs="微软雅黑"/>
                <w:i/>
                <w:iCs/>
                <w:color w:val="000000"/>
                <w:kern w:val="0"/>
                <w:sz w:val="16"/>
                <w:szCs w:val="16"/>
                <w:u w:val="none"/>
                <w:lang w:val="en-US" w:eastAsia="zh-CN" w:bidi="ar"/>
              </w:rPr>
              <w:t>合规</w:t>
            </w:r>
          </w:p>
        </w:tc>
        <w:tc>
          <w:tcPr>
            <w:tcW w:w="555" w:type="dxa"/>
            <w:vAlign w:val="center"/>
          </w:tcPr>
          <w:p w14:paraId="45D27E44">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10</w:t>
            </w:r>
          </w:p>
        </w:tc>
        <w:tc>
          <w:tcPr>
            <w:tcW w:w="502" w:type="dxa"/>
            <w:vAlign w:val="center"/>
          </w:tcPr>
          <w:p w14:paraId="0D30E1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0"/>
                <w:szCs w:val="10"/>
                <w:lang w:val="en-US" w:eastAsia="zh-CN" w:bidi="ar-SA"/>
              </w:rPr>
            </w:pPr>
            <w:r>
              <w:rPr>
                <w:rFonts w:hint="default" w:ascii="宋体" w:hAnsi="宋体" w:eastAsia="宋体" w:cs="宋体"/>
                <w:i w:val="0"/>
                <w:iCs w:val="0"/>
                <w:color w:val="000000"/>
                <w:kern w:val="0"/>
                <w:sz w:val="18"/>
                <w:szCs w:val="18"/>
                <w:u w:val="none"/>
                <w:lang w:val="en-US" w:eastAsia="zh-CN" w:bidi="ar"/>
              </w:rPr>
              <w:t>8</w:t>
            </w:r>
          </w:p>
        </w:tc>
        <w:tc>
          <w:tcPr>
            <w:tcW w:w="2816" w:type="dxa"/>
            <w:vAlign w:val="center"/>
          </w:tcPr>
          <w:p w14:paraId="701B9C7F">
            <w:pPr>
              <w:keepNext w:val="0"/>
              <w:keepLines w:val="0"/>
              <w:suppressLineNumbers w:val="0"/>
              <w:spacing w:before="0" w:beforeAutospacing="0" w:after="0" w:afterAutospacing="0"/>
              <w:ind w:left="0" w:right="0"/>
              <w:jc w:val="center"/>
              <w:rPr>
                <w:rFonts w:hint="default"/>
              </w:rPr>
            </w:pPr>
          </w:p>
        </w:tc>
      </w:tr>
      <w:tr w14:paraId="7AFC12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 w:hRule="atLeast"/>
        </w:trPr>
        <w:tc>
          <w:tcPr>
            <w:tcW w:w="752" w:type="dxa"/>
            <w:vMerge w:val="continue"/>
            <w:tcBorders>
              <w:top w:val="nil"/>
            </w:tcBorders>
            <w:vAlign w:val="center"/>
          </w:tcPr>
          <w:p w14:paraId="28A976CD">
            <w:pPr>
              <w:keepNext w:val="0"/>
              <w:keepLines w:val="0"/>
              <w:suppressLineNumbers w:val="0"/>
              <w:spacing w:before="0" w:beforeAutospacing="0" w:after="0" w:afterAutospacing="0"/>
              <w:ind w:left="0" w:right="0"/>
              <w:jc w:val="center"/>
              <w:rPr>
                <w:rFonts w:hint="default"/>
                <w:sz w:val="2"/>
                <w:szCs w:val="2"/>
              </w:rPr>
            </w:pPr>
          </w:p>
        </w:tc>
        <w:tc>
          <w:tcPr>
            <w:tcW w:w="2259" w:type="dxa"/>
            <w:vMerge w:val="continue"/>
            <w:tcBorders>
              <w:top w:val="nil"/>
            </w:tcBorders>
            <w:vAlign w:val="center"/>
          </w:tcPr>
          <w:p w14:paraId="551C6250">
            <w:pPr>
              <w:keepNext w:val="0"/>
              <w:keepLines w:val="0"/>
              <w:suppressLineNumbers w:val="0"/>
              <w:spacing w:before="0" w:beforeAutospacing="0" w:after="0" w:afterAutospacing="0"/>
              <w:ind w:left="0" w:right="0"/>
              <w:jc w:val="center"/>
              <w:rPr>
                <w:rFonts w:hint="default"/>
                <w:sz w:val="10"/>
                <w:szCs w:val="10"/>
              </w:rPr>
            </w:pPr>
          </w:p>
        </w:tc>
        <w:tc>
          <w:tcPr>
            <w:tcW w:w="1953" w:type="dxa"/>
            <w:vMerge w:val="continue"/>
            <w:vAlign w:val="center"/>
          </w:tcPr>
          <w:p w14:paraId="23C12723">
            <w:pPr>
              <w:keepNext w:val="0"/>
              <w:keepLines w:val="0"/>
              <w:suppressLineNumbers w:val="0"/>
              <w:spacing w:before="0" w:beforeAutospacing="0" w:after="0" w:afterAutospacing="0"/>
              <w:ind w:left="0" w:right="0"/>
              <w:jc w:val="center"/>
              <w:rPr>
                <w:rFonts w:hint="default" w:ascii="宋体" w:hAnsi="宋体" w:eastAsia="宋体" w:cs="宋体"/>
                <w:kern w:val="2"/>
                <w:sz w:val="10"/>
                <w:szCs w:val="10"/>
                <w:lang w:val="en-US" w:eastAsia="zh-CN" w:bidi="ar-SA"/>
              </w:rPr>
            </w:pPr>
          </w:p>
        </w:tc>
        <w:tc>
          <w:tcPr>
            <w:tcW w:w="2492" w:type="dxa"/>
            <w:vAlign w:val="center"/>
          </w:tcPr>
          <w:p w14:paraId="48C1C47A">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立法考察完成度</w:t>
            </w:r>
          </w:p>
        </w:tc>
        <w:tc>
          <w:tcPr>
            <w:tcW w:w="573" w:type="dxa"/>
            <w:vAlign w:val="center"/>
          </w:tcPr>
          <w:p w14:paraId="0A8385C3">
            <w:pPr>
              <w:keepNext w:val="0"/>
              <w:keepLines w:val="0"/>
              <w:widowControl/>
              <w:suppressLineNumbers w:val="0"/>
              <w:spacing w:before="0" w:beforeAutospacing="0" w:after="0" w:afterAutospacing="0"/>
              <w:ind w:left="0" w:right="0"/>
              <w:jc w:val="center"/>
              <w:textAlignment w:val="center"/>
              <w:rPr>
                <w:rFonts w:hint="default"/>
                <w:sz w:val="10"/>
                <w:szCs w:val="10"/>
                <w:lang w:val="en-US" w:eastAsia="zh-CN"/>
              </w:rPr>
            </w:pPr>
            <w:r>
              <w:rPr>
                <w:rFonts w:hint="default" w:ascii="宋体" w:hAnsi="宋体" w:eastAsia="宋体" w:cs="宋体"/>
                <w:i w:val="0"/>
                <w:iCs w:val="0"/>
                <w:color w:val="000000"/>
                <w:kern w:val="0"/>
                <w:sz w:val="18"/>
                <w:szCs w:val="18"/>
                <w:u w:val="none"/>
                <w:lang w:val="en-US" w:eastAsia="zh-CN" w:bidi="ar"/>
              </w:rPr>
              <w:t>＝</w:t>
            </w:r>
          </w:p>
        </w:tc>
        <w:tc>
          <w:tcPr>
            <w:tcW w:w="1846" w:type="dxa"/>
            <w:vAlign w:val="center"/>
          </w:tcPr>
          <w:p w14:paraId="6A08DD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0"/>
                <w:szCs w:val="10"/>
                <w:lang w:val="en-US" w:eastAsia="zh-CN" w:bidi="ar-SA"/>
              </w:rPr>
            </w:pPr>
            <w:r>
              <w:rPr>
                <w:rFonts w:hint="default" w:ascii="宋体" w:hAnsi="宋体" w:eastAsia="宋体" w:cs="宋体"/>
                <w:i w:val="0"/>
                <w:iCs w:val="0"/>
                <w:color w:val="000000"/>
                <w:kern w:val="0"/>
                <w:sz w:val="18"/>
                <w:szCs w:val="18"/>
                <w:u w:val="none"/>
                <w:lang w:val="en-US" w:eastAsia="zh-CN" w:bidi="ar"/>
              </w:rPr>
              <w:t>100</w:t>
            </w:r>
          </w:p>
        </w:tc>
        <w:tc>
          <w:tcPr>
            <w:tcW w:w="574" w:type="dxa"/>
            <w:vAlign w:val="center"/>
          </w:tcPr>
          <w:p w14:paraId="2F8C7A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0"/>
                <w:szCs w:val="10"/>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1200" w:type="dxa"/>
            <w:vAlign w:val="center"/>
          </w:tcPr>
          <w:p w14:paraId="19B8CF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0"/>
                <w:szCs w:val="10"/>
                <w:lang w:val="en-US" w:eastAsia="zh-CN" w:bidi="ar-SA"/>
              </w:rPr>
            </w:pPr>
            <w:r>
              <w:rPr>
                <w:rFonts w:hint="eastAsia" w:ascii="微软雅黑" w:hAnsi="微软雅黑" w:eastAsia="微软雅黑" w:cs="微软雅黑"/>
                <w:i/>
                <w:iCs/>
                <w:color w:val="000000"/>
                <w:kern w:val="0"/>
                <w:sz w:val="16"/>
                <w:szCs w:val="16"/>
                <w:u w:val="none"/>
                <w:lang w:val="en-US" w:eastAsia="zh-CN" w:bidi="ar"/>
              </w:rPr>
              <w:t>90</w:t>
            </w:r>
          </w:p>
        </w:tc>
        <w:tc>
          <w:tcPr>
            <w:tcW w:w="555" w:type="dxa"/>
            <w:vAlign w:val="center"/>
          </w:tcPr>
          <w:p w14:paraId="35BCC128">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10</w:t>
            </w:r>
          </w:p>
        </w:tc>
        <w:tc>
          <w:tcPr>
            <w:tcW w:w="502" w:type="dxa"/>
            <w:vAlign w:val="center"/>
          </w:tcPr>
          <w:p w14:paraId="0E0B80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0"/>
                <w:szCs w:val="10"/>
                <w:lang w:val="en-US" w:eastAsia="zh-CN" w:bidi="ar-SA"/>
              </w:rPr>
            </w:pPr>
            <w:r>
              <w:rPr>
                <w:rFonts w:hint="default" w:ascii="宋体" w:hAnsi="宋体" w:eastAsia="宋体" w:cs="宋体"/>
                <w:i w:val="0"/>
                <w:iCs w:val="0"/>
                <w:color w:val="000000"/>
                <w:kern w:val="0"/>
                <w:sz w:val="18"/>
                <w:szCs w:val="18"/>
                <w:u w:val="none"/>
                <w:lang w:val="en-US" w:eastAsia="zh-CN" w:bidi="ar"/>
              </w:rPr>
              <w:t>8</w:t>
            </w:r>
          </w:p>
        </w:tc>
        <w:tc>
          <w:tcPr>
            <w:tcW w:w="2816" w:type="dxa"/>
            <w:vAlign w:val="center"/>
          </w:tcPr>
          <w:p w14:paraId="7EDF59F5">
            <w:pPr>
              <w:keepNext w:val="0"/>
              <w:keepLines w:val="0"/>
              <w:suppressLineNumbers w:val="0"/>
              <w:spacing w:before="0" w:beforeAutospacing="0" w:after="0" w:afterAutospacing="0"/>
              <w:ind w:left="0" w:right="0"/>
              <w:jc w:val="center"/>
              <w:rPr>
                <w:rFonts w:hint="default"/>
              </w:rPr>
            </w:pPr>
          </w:p>
        </w:tc>
      </w:tr>
      <w:tr w14:paraId="1E133F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5" w:hRule="atLeast"/>
        </w:trPr>
        <w:tc>
          <w:tcPr>
            <w:tcW w:w="752" w:type="dxa"/>
            <w:vMerge w:val="continue"/>
            <w:tcBorders>
              <w:top w:val="nil"/>
            </w:tcBorders>
            <w:vAlign w:val="center"/>
          </w:tcPr>
          <w:p w14:paraId="5E197279">
            <w:pPr>
              <w:keepNext w:val="0"/>
              <w:keepLines w:val="0"/>
              <w:suppressLineNumbers w:val="0"/>
              <w:spacing w:before="0" w:beforeAutospacing="0" w:after="0" w:afterAutospacing="0"/>
              <w:ind w:left="0" w:right="0"/>
              <w:jc w:val="center"/>
              <w:rPr>
                <w:rFonts w:hint="default"/>
                <w:sz w:val="2"/>
                <w:szCs w:val="2"/>
              </w:rPr>
            </w:pPr>
          </w:p>
        </w:tc>
        <w:tc>
          <w:tcPr>
            <w:tcW w:w="2259" w:type="dxa"/>
            <w:vMerge w:val="continue"/>
            <w:vAlign w:val="center"/>
          </w:tcPr>
          <w:p w14:paraId="6C68866F">
            <w:pPr>
              <w:keepNext w:val="0"/>
              <w:keepLines w:val="0"/>
              <w:suppressLineNumbers w:val="0"/>
              <w:spacing w:before="0" w:beforeAutospacing="0" w:after="0" w:afterAutospacing="0"/>
              <w:ind w:left="0" w:right="0"/>
              <w:jc w:val="center"/>
              <w:rPr>
                <w:rFonts w:hint="default"/>
                <w:sz w:val="10"/>
                <w:szCs w:val="10"/>
              </w:rPr>
            </w:pPr>
          </w:p>
        </w:tc>
        <w:tc>
          <w:tcPr>
            <w:tcW w:w="1953" w:type="dxa"/>
            <w:vAlign w:val="center"/>
          </w:tcPr>
          <w:p w14:paraId="0091CD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0"/>
                <w:szCs w:val="10"/>
                <w:lang w:val="en-US" w:eastAsia="zh-CN" w:bidi="ar-SA"/>
              </w:rPr>
            </w:pPr>
            <w:r>
              <w:rPr>
                <w:rFonts w:hint="default" w:ascii="宋体" w:hAnsi="宋体" w:eastAsia="宋体" w:cs="宋体"/>
                <w:i w:val="0"/>
                <w:iCs w:val="0"/>
                <w:color w:val="000000"/>
                <w:kern w:val="0"/>
                <w:sz w:val="18"/>
                <w:szCs w:val="18"/>
                <w:u w:val="none"/>
                <w:lang w:val="en-US" w:eastAsia="zh-CN" w:bidi="ar"/>
              </w:rPr>
              <w:t>时效指标</w:t>
            </w:r>
          </w:p>
        </w:tc>
        <w:tc>
          <w:tcPr>
            <w:tcW w:w="2492" w:type="dxa"/>
            <w:vAlign w:val="center"/>
          </w:tcPr>
          <w:p w14:paraId="01505A3B">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立法考察完成时限</w:t>
            </w:r>
          </w:p>
        </w:tc>
        <w:tc>
          <w:tcPr>
            <w:tcW w:w="573" w:type="dxa"/>
            <w:vAlign w:val="center"/>
          </w:tcPr>
          <w:p w14:paraId="67285374">
            <w:pPr>
              <w:keepNext w:val="0"/>
              <w:keepLines w:val="0"/>
              <w:widowControl/>
              <w:suppressLineNumbers w:val="0"/>
              <w:spacing w:before="0" w:beforeAutospacing="0" w:after="0" w:afterAutospacing="0"/>
              <w:ind w:left="0" w:right="0"/>
              <w:jc w:val="center"/>
              <w:textAlignment w:val="center"/>
              <w:rPr>
                <w:rFonts w:hint="default"/>
                <w:sz w:val="10"/>
                <w:szCs w:val="10"/>
                <w:lang w:val="en-US" w:eastAsia="zh-CN"/>
              </w:rPr>
            </w:pPr>
            <w:r>
              <w:rPr>
                <w:rFonts w:hint="default" w:ascii="宋体" w:hAnsi="宋体" w:eastAsia="宋体" w:cs="宋体"/>
                <w:i w:val="0"/>
                <w:iCs w:val="0"/>
                <w:color w:val="000000"/>
                <w:kern w:val="0"/>
                <w:sz w:val="18"/>
                <w:szCs w:val="18"/>
                <w:u w:val="none"/>
                <w:lang w:val="en-US" w:eastAsia="zh-CN" w:bidi="ar"/>
              </w:rPr>
              <w:t>≤</w:t>
            </w:r>
          </w:p>
        </w:tc>
        <w:tc>
          <w:tcPr>
            <w:tcW w:w="1846" w:type="dxa"/>
            <w:vAlign w:val="center"/>
          </w:tcPr>
          <w:p w14:paraId="1F2E34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0"/>
                <w:szCs w:val="10"/>
                <w:lang w:val="en-US" w:eastAsia="zh-CN" w:bidi="ar-SA"/>
              </w:rPr>
            </w:pPr>
            <w:r>
              <w:rPr>
                <w:rFonts w:hint="default" w:ascii="宋体" w:hAnsi="宋体" w:eastAsia="宋体" w:cs="宋体"/>
                <w:i w:val="0"/>
                <w:iCs w:val="0"/>
                <w:color w:val="000000"/>
                <w:kern w:val="0"/>
                <w:sz w:val="18"/>
                <w:szCs w:val="18"/>
                <w:u w:val="none"/>
                <w:lang w:val="en-US" w:eastAsia="zh-CN" w:bidi="ar"/>
              </w:rPr>
              <w:t>1</w:t>
            </w:r>
          </w:p>
        </w:tc>
        <w:tc>
          <w:tcPr>
            <w:tcW w:w="574" w:type="dxa"/>
            <w:vAlign w:val="center"/>
          </w:tcPr>
          <w:p w14:paraId="4893DA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0"/>
                <w:szCs w:val="10"/>
                <w:lang w:val="en-US" w:eastAsia="zh-CN" w:bidi="ar-SA"/>
              </w:rPr>
            </w:pPr>
            <w:r>
              <w:rPr>
                <w:rFonts w:hint="default" w:ascii="宋体" w:hAnsi="宋体" w:eastAsia="宋体" w:cs="宋体"/>
                <w:i w:val="0"/>
                <w:iCs w:val="0"/>
                <w:color w:val="000000"/>
                <w:kern w:val="0"/>
                <w:sz w:val="18"/>
                <w:szCs w:val="18"/>
                <w:u w:val="none"/>
                <w:lang w:val="en-US" w:eastAsia="zh-CN" w:bidi="ar"/>
              </w:rPr>
              <w:t>年</w:t>
            </w:r>
          </w:p>
        </w:tc>
        <w:tc>
          <w:tcPr>
            <w:tcW w:w="1200" w:type="dxa"/>
            <w:vAlign w:val="center"/>
          </w:tcPr>
          <w:p w14:paraId="10B0A1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0"/>
                <w:szCs w:val="10"/>
                <w:lang w:val="en-US" w:eastAsia="zh-CN" w:bidi="ar-SA"/>
              </w:rPr>
            </w:pPr>
            <w:r>
              <w:rPr>
                <w:rFonts w:hint="eastAsia" w:ascii="微软雅黑" w:hAnsi="微软雅黑" w:eastAsia="微软雅黑" w:cs="微软雅黑"/>
                <w:i/>
                <w:iCs/>
                <w:color w:val="000000"/>
                <w:kern w:val="0"/>
                <w:sz w:val="16"/>
                <w:szCs w:val="16"/>
                <w:u w:val="none"/>
                <w:lang w:val="en-US" w:eastAsia="zh-CN" w:bidi="ar"/>
              </w:rPr>
              <w:t>1</w:t>
            </w:r>
          </w:p>
        </w:tc>
        <w:tc>
          <w:tcPr>
            <w:tcW w:w="555" w:type="dxa"/>
            <w:vAlign w:val="center"/>
          </w:tcPr>
          <w:p w14:paraId="669C8479">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10</w:t>
            </w:r>
          </w:p>
        </w:tc>
        <w:tc>
          <w:tcPr>
            <w:tcW w:w="502" w:type="dxa"/>
            <w:vAlign w:val="center"/>
          </w:tcPr>
          <w:p w14:paraId="3028E2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0"/>
                <w:szCs w:val="10"/>
                <w:lang w:val="en-US" w:eastAsia="zh-CN" w:bidi="ar-SA"/>
              </w:rPr>
            </w:pPr>
            <w:r>
              <w:rPr>
                <w:rFonts w:hint="default" w:ascii="宋体" w:hAnsi="宋体" w:eastAsia="宋体" w:cs="宋体"/>
                <w:i w:val="0"/>
                <w:iCs w:val="0"/>
                <w:color w:val="000000"/>
                <w:kern w:val="0"/>
                <w:sz w:val="18"/>
                <w:szCs w:val="18"/>
                <w:u w:val="none"/>
                <w:lang w:val="en-US" w:eastAsia="zh-CN" w:bidi="ar"/>
              </w:rPr>
              <w:t>10</w:t>
            </w:r>
          </w:p>
        </w:tc>
        <w:tc>
          <w:tcPr>
            <w:tcW w:w="2816" w:type="dxa"/>
            <w:vAlign w:val="center"/>
          </w:tcPr>
          <w:p w14:paraId="7904C7AF">
            <w:pPr>
              <w:keepNext w:val="0"/>
              <w:keepLines w:val="0"/>
              <w:suppressLineNumbers w:val="0"/>
              <w:spacing w:before="0" w:beforeAutospacing="0" w:after="0" w:afterAutospacing="0"/>
              <w:ind w:left="0" w:right="0"/>
              <w:jc w:val="center"/>
              <w:rPr>
                <w:rFonts w:hint="default"/>
              </w:rPr>
            </w:pPr>
          </w:p>
        </w:tc>
      </w:tr>
      <w:tr w14:paraId="6E047B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52" w:type="dxa"/>
            <w:vMerge w:val="continue"/>
            <w:tcBorders>
              <w:top w:val="nil"/>
            </w:tcBorders>
            <w:vAlign w:val="center"/>
          </w:tcPr>
          <w:p w14:paraId="709B06C4">
            <w:pPr>
              <w:keepNext w:val="0"/>
              <w:keepLines w:val="0"/>
              <w:suppressLineNumbers w:val="0"/>
              <w:spacing w:before="0" w:beforeAutospacing="0" w:after="0" w:afterAutospacing="0"/>
              <w:ind w:left="0" w:right="0"/>
              <w:jc w:val="center"/>
              <w:rPr>
                <w:rFonts w:hint="default"/>
                <w:sz w:val="18"/>
                <w:lang w:val="en-US" w:eastAsia="zh-CN"/>
              </w:rPr>
            </w:pPr>
          </w:p>
        </w:tc>
        <w:tc>
          <w:tcPr>
            <w:tcW w:w="2259" w:type="dxa"/>
            <w:tcBorders>
              <w:top w:val="nil"/>
            </w:tcBorders>
            <w:vAlign w:val="center"/>
          </w:tcPr>
          <w:p w14:paraId="4FE29D03">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效益指标</w:t>
            </w:r>
          </w:p>
        </w:tc>
        <w:tc>
          <w:tcPr>
            <w:tcW w:w="1953" w:type="dxa"/>
            <w:tcBorders>
              <w:top w:val="nil"/>
            </w:tcBorders>
            <w:vAlign w:val="center"/>
          </w:tcPr>
          <w:p w14:paraId="2179A47C">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社会效益指标</w:t>
            </w:r>
          </w:p>
        </w:tc>
        <w:tc>
          <w:tcPr>
            <w:tcW w:w="2492" w:type="dxa"/>
            <w:tcBorders>
              <w:top w:val="nil"/>
            </w:tcBorders>
            <w:vAlign w:val="center"/>
          </w:tcPr>
          <w:p w14:paraId="4D608BC7">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群众法律知晓率</w:t>
            </w:r>
          </w:p>
        </w:tc>
        <w:tc>
          <w:tcPr>
            <w:tcW w:w="573" w:type="dxa"/>
            <w:tcBorders>
              <w:top w:val="nil"/>
            </w:tcBorders>
            <w:vAlign w:val="center"/>
          </w:tcPr>
          <w:p w14:paraId="0C4EBD28">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w:t>
            </w:r>
          </w:p>
        </w:tc>
        <w:tc>
          <w:tcPr>
            <w:tcW w:w="1846" w:type="dxa"/>
            <w:tcBorders>
              <w:top w:val="nil"/>
            </w:tcBorders>
            <w:vAlign w:val="center"/>
          </w:tcPr>
          <w:p w14:paraId="634527AE">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95</w:t>
            </w:r>
          </w:p>
        </w:tc>
        <w:tc>
          <w:tcPr>
            <w:tcW w:w="574" w:type="dxa"/>
            <w:vAlign w:val="center"/>
          </w:tcPr>
          <w:p w14:paraId="1BA7B3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0"/>
                <w:szCs w:val="10"/>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1200" w:type="dxa"/>
            <w:vAlign w:val="center"/>
          </w:tcPr>
          <w:p w14:paraId="7F8AF5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10"/>
                <w:szCs w:val="10"/>
                <w:lang w:val="en-US" w:eastAsia="zh-CN" w:bidi="ar-SA"/>
              </w:rPr>
            </w:pPr>
            <w:r>
              <w:rPr>
                <w:rFonts w:hint="eastAsia" w:ascii="微软雅黑" w:hAnsi="微软雅黑" w:eastAsia="微软雅黑" w:cs="微软雅黑"/>
                <w:i/>
                <w:iCs/>
                <w:color w:val="000000"/>
                <w:kern w:val="0"/>
                <w:sz w:val="16"/>
                <w:szCs w:val="16"/>
                <w:u w:val="none"/>
                <w:lang w:val="en-US" w:eastAsia="zh-CN" w:bidi="ar"/>
              </w:rPr>
              <w:t>94</w:t>
            </w:r>
          </w:p>
        </w:tc>
        <w:tc>
          <w:tcPr>
            <w:tcW w:w="555" w:type="dxa"/>
            <w:vAlign w:val="center"/>
          </w:tcPr>
          <w:p w14:paraId="274C9140">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20</w:t>
            </w:r>
          </w:p>
        </w:tc>
        <w:tc>
          <w:tcPr>
            <w:tcW w:w="502" w:type="dxa"/>
            <w:vAlign w:val="center"/>
          </w:tcPr>
          <w:p w14:paraId="3BBCBB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0"/>
                <w:szCs w:val="10"/>
                <w:lang w:val="en-US" w:eastAsia="zh-CN" w:bidi="ar-SA"/>
              </w:rPr>
            </w:pPr>
            <w:r>
              <w:rPr>
                <w:rFonts w:hint="default" w:ascii="宋体" w:hAnsi="宋体" w:eastAsia="宋体" w:cs="宋体"/>
                <w:i w:val="0"/>
                <w:iCs w:val="0"/>
                <w:color w:val="000000"/>
                <w:kern w:val="0"/>
                <w:sz w:val="18"/>
                <w:szCs w:val="18"/>
                <w:u w:val="none"/>
                <w:lang w:val="en-US" w:eastAsia="zh-CN" w:bidi="ar"/>
              </w:rPr>
              <w:t>16</w:t>
            </w:r>
          </w:p>
        </w:tc>
        <w:tc>
          <w:tcPr>
            <w:tcW w:w="2816" w:type="dxa"/>
            <w:vAlign w:val="center"/>
          </w:tcPr>
          <w:p w14:paraId="224456EA">
            <w:pPr>
              <w:keepNext w:val="0"/>
              <w:keepLines w:val="0"/>
              <w:suppressLineNumbers w:val="0"/>
              <w:spacing w:before="0" w:beforeAutospacing="0" w:after="0" w:afterAutospacing="0"/>
              <w:ind w:left="0" w:right="0"/>
              <w:jc w:val="center"/>
              <w:rPr>
                <w:rFonts w:hint="default"/>
              </w:rPr>
            </w:pPr>
          </w:p>
        </w:tc>
      </w:tr>
      <w:tr w14:paraId="0AABF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 w:hRule="atLeast"/>
        </w:trPr>
        <w:tc>
          <w:tcPr>
            <w:tcW w:w="752" w:type="dxa"/>
            <w:vMerge w:val="continue"/>
            <w:vAlign w:val="center"/>
          </w:tcPr>
          <w:p w14:paraId="20CD9FD1">
            <w:pPr>
              <w:keepNext w:val="0"/>
              <w:keepLines w:val="0"/>
              <w:suppressLineNumbers w:val="0"/>
              <w:spacing w:before="0" w:beforeAutospacing="0" w:after="0" w:afterAutospacing="0"/>
              <w:ind w:left="0" w:right="0"/>
              <w:jc w:val="center"/>
              <w:rPr>
                <w:rFonts w:hint="default" w:ascii="宋体" w:hAnsi="宋体" w:eastAsia="宋体" w:cs="宋体"/>
                <w:kern w:val="2"/>
                <w:sz w:val="16"/>
                <w:szCs w:val="24"/>
                <w:lang w:val="en-US" w:eastAsia="zh-CN" w:bidi="ar-SA"/>
              </w:rPr>
            </w:pPr>
          </w:p>
        </w:tc>
        <w:tc>
          <w:tcPr>
            <w:tcW w:w="2259" w:type="dxa"/>
            <w:vAlign w:val="center"/>
          </w:tcPr>
          <w:p w14:paraId="40249C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10"/>
                <w:szCs w:val="10"/>
                <w:lang w:val="en-US" w:eastAsia="zh-CN" w:bidi="ar-SA"/>
              </w:rPr>
            </w:pPr>
            <w:r>
              <w:rPr>
                <w:rFonts w:hint="default" w:ascii="宋体" w:hAnsi="宋体" w:eastAsia="宋体" w:cs="宋体"/>
                <w:i w:val="0"/>
                <w:iCs w:val="0"/>
                <w:color w:val="000000"/>
                <w:kern w:val="0"/>
                <w:sz w:val="18"/>
                <w:szCs w:val="18"/>
                <w:u w:val="none"/>
                <w:lang w:val="en-US" w:eastAsia="zh-CN" w:bidi="ar"/>
              </w:rPr>
              <w:t>满意度指标</w:t>
            </w:r>
          </w:p>
        </w:tc>
        <w:tc>
          <w:tcPr>
            <w:tcW w:w="1953" w:type="dxa"/>
            <w:vAlign w:val="center"/>
          </w:tcPr>
          <w:p w14:paraId="697F6830">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492" w:type="dxa"/>
            <w:vAlign w:val="center"/>
          </w:tcPr>
          <w:p w14:paraId="09E26666">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考察收益对象满意度</w:t>
            </w:r>
          </w:p>
        </w:tc>
        <w:tc>
          <w:tcPr>
            <w:tcW w:w="573" w:type="dxa"/>
            <w:vAlign w:val="center"/>
          </w:tcPr>
          <w:p w14:paraId="0150E3A4">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w:t>
            </w:r>
          </w:p>
        </w:tc>
        <w:tc>
          <w:tcPr>
            <w:tcW w:w="1846" w:type="dxa"/>
            <w:vAlign w:val="center"/>
          </w:tcPr>
          <w:p w14:paraId="08A7456A">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95</w:t>
            </w:r>
          </w:p>
        </w:tc>
        <w:tc>
          <w:tcPr>
            <w:tcW w:w="574" w:type="dxa"/>
            <w:vAlign w:val="center"/>
          </w:tcPr>
          <w:p w14:paraId="7EE95195">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w:t>
            </w:r>
          </w:p>
        </w:tc>
        <w:tc>
          <w:tcPr>
            <w:tcW w:w="1200" w:type="dxa"/>
            <w:vAlign w:val="center"/>
          </w:tcPr>
          <w:p w14:paraId="72C6315E">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eastAsia" w:ascii="微软雅黑" w:hAnsi="微软雅黑" w:eastAsia="微软雅黑" w:cs="微软雅黑"/>
                <w:i/>
                <w:iCs/>
                <w:color w:val="000000"/>
                <w:kern w:val="0"/>
                <w:sz w:val="16"/>
                <w:szCs w:val="16"/>
                <w:u w:val="none"/>
                <w:lang w:val="en-US" w:eastAsia="zh-CN" w:bidi="ar"/>
              </w:rPr>
              <w:t>95</w:t>
            </w:r>
          </w:p>
        </w:tc>
        <w:tc>
          <w:tcPr>
            <w:tcW w:w="555" w:type="dxa"/>
            <w:vAlign w:val="center"/>
          </w:tcPr>
          <w:p w14:paraId="33DD7D42">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10</w:t>
            </w:r>
          </w:p>
        </w:tc>
        <w:tc>
          <w:tcPr>
            <w:tcW w:w="502" w:type="dxa"/>
            <w:vAlign w:val="center"/>
          </w:tcPr>
          <w:p w14:paraId="2246672D">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10</w:t>
            </w:r>
          </w:p>
        </w:tc>
        <w:tc>
          <w:tcPr>
            <w:tcW w:w="2816" w:type="dxa"/>
            <w:vAlign w:val="center"/>
          </w:tcPr>
          <w:p w14:paraId="17909197">
            <w:pPr>
              <w:keepNext w:val="0"/>
              <w:keepLines w:val="0"/>
              <w:suppressLineNumbers w:val="0"/>
              <w:spacing w:before="0" w:beforeAutospacing="0" w:after="0" w:afterAutospacing="0"/>
              <w:ind w:left="0" w:right="0"/>
              <w:jc w:val="center"/>
              <w:rPr>
                <w:rFonts w:hint="default"/>
              </w:rPr>
            </w:pPr>
          </w:p>
        </w:tc>
      </w:tr>
      <w:tr w14:paraId="1BE30A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752" w:type="dxa"/>
            <w:vMerge w:val="continue"/>
            <w:vAlign w:val="center"/>
          </w:tcPr>
          <w:p w14:paraId="032A0803">
            <w:pPr>
              <w:keepNext w:val="0"/>
              <w:keepLines w:val="0"/>
              <w:suppressLineNumbers w:val="0"/>
              <w:spacing w:before="0" w:beforeAutospacing="0" w:after="0" w:afterAutospacing="0"/>
              <w:ind w:left="0" w:right="0"/>
              <w:jc w:val="center"/>
              <w:rPr>
                <w:rFonts w:hint="default"/>
                <w:sz w:val="18"/>
              </w:rPr>
            </w:pPr>
          </w:p>
        </w:tc>
        <w:tc>
          <w:tcPr>
            <w:tcW w:w="2259" w:type="dxa"/>
            <w:vMerge w:val="restart"/>
            <w:vAlign w:val="center"/>
          </w:tcPr>
          <w:p w14:paraId="047C30D7">
            <w:pPr>
              <w:keepNext w:val="0"/>
              <w:keepLines w:val="0"/>
              <w:widowControl/>
              <w:suppressLineNumbers w:val="0"/>
              <w:spacing w:before="0" w:beforeAutospacing="0" w:after="0" w:afterAutospacing="0"/>
              <w:ind w:left="0" w:right="0"/>
              <w:jc w:val="center"/>
              <w:textAlignment w:val="center"/>
              <w:rPr>
                <w:rFonts w:hint="eastAsia" w:ascii="微软雅黑" w:eastAsia="微软雅黑"/>
                <w:i/>
                <w:sz w:val="10"/>
                <w:szCs w:val="10"/>
              </w:rPr>
            </w:pPr>
            <w:r>
              <w:rPr>
                <w:rFonts w:hint="default" w:ascii="宋体" w:hAnsi="宋体" w:eastAsia="宋体" w:cs="宋体"/>
                <w:i w:val="0"/>
                <w:iCs w:val="0"/>
                <w:color w:val="000000"/>
                <w:kern w:val="0"/>
                <w:sz w:val="18"/>
                <w:szCs w:val="18"/>
                <w:u w:val="none"/>
                <w:lang w:val="en-US" w:eastAsia="zh-CN" w:bidi="ar"/>
              </w:rPr>
              <w:t>成本指标</w:t>
            </w:r>
          </w:p>
        </w:tc>
        <w:tc>
          <w:tcPr>
            <w:tcW w:w="1953" w:type="dxa"/>
            <w:vMerge w:val="restart"/>
            <w:vAlign w:val="center"/>
          </w:tcPr>
          <w:p w14:paraId="03A8F520">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经济成本指标</w:t>
            </w:r>
          </w:p>
        </w:tc>
        <w:tc>
          <w:tcPr>
            <w:tcW w:w="2492" w:type="dxa"/>
            <w:vAlign w:val="center"/>
          </w:tcPr>
          <w:p w14:paraId="274A2C6E">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立法考察成本</w:t>
            </w:r>
          </w:p>
        </w:tc>
        <w:tc>
          <w:tcPr>
            <w:tcW w:w="573" w:type="dxa"/>
            <w:vAlign w:val="center"/>
          </w:tcPr>
          <w:p w14:paraId="2D6BE2E3">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w:t>
            </w:r>
          </w:p>
        </w:tc>
        <w:tc>
          <w:tcPr>
            <w:tcW w:w="1846" w:type="dxa"/>
            <w:vAlign w:val="center"/>
          </w:tcPr>
          <w:p w14:paraId="3C0BBF9D">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30</w:t>
            </w:r>
          </w:p>
        </w:tc>
        <w:tc>
          <w:tcPr>
            <w:tcW w:w="574" w:type="dxa"/>
            <w:vAlign w:val="center"/>
          </w:tcPr>
          <w:p w14:paraId="486BE34E">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万元</w:t>
            </w:r>
          </w:p>
        </w:tc>
        <w:tc>
          <w:tcPr>
            <w:tcW w:w="1200" w:type="dxa"/>
            <w:vAlign w:val="center"/>
          </w:tcPr>
          <w:p w14:paraId="6F5D4A98">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eastAsia" w:ascii="微软雅黑" w:hAnsi="微软雅黑" w:eastAsia="微软雅黑" w:cs="微软雅黑"/>
                <w:i/>
                <w:iCs/>
                <w:color w:val="000000"/>
                <w:kern w:val="0"/>
                <w:sz w:val="16"/>
                <w:szCs w:val="16"/>
                <w:u w:val="none"/>
                <w:lang w:val="en-US" w:eastAsia="zh-CN" w:bidi="ar"/>
              </w:rPr>
              <w:t>30</w:t>
            </w:r>
          </w:p>
        </w:tc>
        <w:tc>
          <w:tcPr>
            <w:tcW w:w="555" w:type="dxa"/>
            <w:vAlign w:val="center"/>
          </w:tcPr>
          <w:p w14:paraId="32EA3F84">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10</w:t>
            </w:r>
          </w:p>
        </w:tc>
        <w:tc>
          <w:tcPr>
            <w:tcW w:w="502" w:type="dxa"/>
            <w:vAlign w:val="center"/>
          </w:tcPr>
          <w:p w14:paraId="33581D84">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10</w:t>
            </w:r>
          </w:p>
        </w:tc>
        <w:tc>
          <w:tcPr>
            <w:tcW w:w="2816" w:type="dxa"/>
            <w:vAlign w:val="center"/>
          </w:tcPr>
          <w:p w14:paraId="6FDBB91E">
            <w:pPr>
              <w:keepNext w:val="0"/>
              <w:keepLines w:val="0"/>
              <w:suppressLineNumbers w:val="0"/>
              <w:spacing w:before="0" w:beforeAutospacing="0" w:after="0" w:afterAutospacing="0"/>
              <w:ind w:left="0" w:right="0"/>
              <w:jc w:val="center"/>
              <w:rPr>
                <w:rFonts w:hint="default"/>
              </w:rPr>
            </w:pPr>
          </w:p>
        </w:tc>
      </w:tr>
      <w:tr w14:paraId="1C2756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52" w:type="dxa"/>
            <w:vMerge w:val="continue"/>
            <w:vAlign w:val="center"/>
          </w:tcPr>
          <w:p w14:paraId="460021B4">
            <w:pPr>
              <w:keepNext w:val="0"/>
              <w:keepLines w:val="0"/>
              <w:suppressLineNumbers w:val="0"/>
              <w:spacing w:before="0" w:beforeAutospacing="0" w:after="0" w:afterAutospacing="0"/>
              <w:ind w:left="0" w:right="0"/>
              <w:jc w:val="center"/>
              <w:rPr>
                <w:rFonts w:hint="default"/>
                <w:sz w:val="18"/>
              </w:rPr>
            </w:pPr>
          </w:p>
        </w:tc>
        <w:tc>
          <w:tcPr>
            <w:tcW w:w="2259" w:type="dxa"/>
            <w:vMerge w:val="continue"/>
            <w:vAlign w:val="center"/>
          </w:tcPr>
          <w:p w14:paraId="6934B39D">
            <w:pPr>
              <w:keepNext w:val="0"/>
              <w:keepLines w:val="0"/>
              <w:suppressLineNumbers w:val="0"/>
              <w:spacing w:before="0" w:beforeAutospacing="0" w:after="0" w:afterAutospacing="0"/>
              <w:ind w:left="0" w:right="0"/>
              <w:jc w:val="center"/>
              <w:rPr>
                <w:rFonts w:hint="eastAsia" w:ascii="微软雅黑" w:eastAsia="微软雅黑"/>
                <w:i/>
                <w:sz w:val="10"/>
                <w:szCs w:val="10"/>
              </w:rPr>
            </w:pPr>
          </w:p>
        </w:tc>
        <w:tc>
          <w:tcPr>
            <w:tcW w:w="1953" w:type="dxa"/>
            <w:vMerge w:val="continue"/>
            <w:vAlign w:val="center"/>
          </w:tcPr>
          <w:p w14:paraId="37529521">
            <w:pPr>
              <w:keepNext w:val="0"/>
              <w:keepLines w:val="0"/>
              <w:suppressLineNumbers w:val="0"/>
              <w:spacing w:before="0" w:beforeAutospacing="0" w:after="0" w:afterAutospacing="0"/>
              <w:ind w:left="0" w:right="0"/>
              <w:jc w:val="center"/>
              <w:rPr>
                <w:rFonts w:hint="default"/>
                <w:sz w:val="10"/>
                <w:szCs w:val="10"/>
              </w:rPr>
            </w:pPr>
          </w:p>
        </w:tc>
        <w:tc>
          <w:tcPr>
            <w:tcW w:w="2492" w:type="dxa"/>
            <w:vAlign w:val="center"/>
          </w:tcPr>
          <w:p w14:paraId="6BE7F70B">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立法考察总成本</w:t>
            </w:r>
          </w:p>
        </w:tc>
        <w:tc>
          <w:tcPr>
            <w:tcW w:w="573" w:type="dxa"/>
            <w:vAlign w:val="center"/>
          </w:tcPr>
          <w:p w14:paraId="69B0BFC4">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w:t>
            </w:r>
          </w:p>
        </w:tc>
        <w:tc>
          <w:tcPr>
            <w:tcW w:w="1846" w:type="dxa"/>
            <w:vAlign w:val="center"/>
          </w:tcPr>
          <w:p w14:paraId="0B017EB3">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30</w:t>
            </w:r>
          </w:p>
        </w:tc>
        <w:tc>
          <w:tcPr>
            <w:tcW w:w="574" w:type="dxa"/>
            <w:vAlign w:val="center"/>
          </w:tcPr>
          <w:p w14:paraId="30EBE457">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万元</w:t>
            </w:r>
          </w:p>
        </w:tc>
        <w:tc>
          <w:tcPr>
            <w:tcW w:w="1200" w:type="dxa"/>
            <w:vAlign w:val="center"/>
          </w:tcPr>
          <w:p w14:paraId="398EF894">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eastAsia" w:ascii="微软雅黑" w:hAnsi="微软雅黑" w:eastAsia="微软雅黑" w:cs="微软雅黑"/>
                <w:i/>
                <w:iCs/>
                <w:color w:val="000000"/>
                <w:kern w:val="0"/>
                <w:sz w:val="16"/>
                <w:szCs w:val="16"/>
                <w:u w:val="none"/>
                <w:lang w:val="en-US" w:eastAsia="zh-CN" w:bidi="ar"/>
              </w:rPr>
              <w:t>30</w:t>
            </w:r>
          </w:p>
        </w:tc>
        <w:tc>
          <w:tcPr>
            <w:tcW w:w="555" w:type="dxa"/>
            <w:vAlign w:val="center"/>
          </w:tcPr>
          <w:p w14:paraId="03EAA300">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10</w:t>
            </w:r>
          </w:p>
        </w:tc>
        <w:tc>
          <w:tcPr>
            <w:tcW w:w="502" w:type="dxa"/>
            <w:vAlign w:val="center"/>
          </w:tcPr>
          <w:p w14:paraId="0B6DB87C">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10</w:t>
            </w:r>
          </w:p>
        </w:tc>
        <w:tc>
          <w:tcPr>
            <w:tcW w:w="2816" w:type="dxa"/>
            <w:vAlign w:val="center"/>
          </w:tcPr>
          <w:p w14:paraId="6247D4F5">
            <w:pPr>
              <w:keepNext w:val="0"/>
              <w:keepLines w:val="0"/>
              <w:suppressLineNumbers w:val="0"/>
              <w:spacing w:before="0" w:beforeAutospacing="0" w:after="0" w:afterAutospacing="0"/>
              <w:ind w:left="0" w:right="0"/>
              <w:jc w:val="center"/>
              <w:rPr>
                <w:rFonts w:hint="default"/>
              </w:rPr>
            </w:pPr>
          </w:p>
        </w:tc>
      </w:tr>
      <w:tr w14:paraId="785F2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649" w:type="dxa"/>
            <w:gridSpan w:val="8"/>
            <w:vAlign w:val="center"/>
          </w:tcPr>
          <w:p w14:paraId="2B0C21E6">
            <w:pPr>
              <w:keepNext w:val="0"/>
              <w:keepLines w:val="0"/>
              <w:widowControl/>
              <w:suppressLineNumbers w:val="0"/>
              <w:spacing w:before="0" w:beforeAutospacing="0" w:after="0" w:afterAutospacing="0"/>
              <w:ind w:left="0" w:right="0"/>
              <w:jc w:val="center"/>
              <w:textAlignment w:val="center"/>
              <w:rPr>
                <w:rFonts w:hint="eastAsia" w:ascii="微软雅黑" w:eastAsia="微软雅黑"/>
                <w:i/>
                <w:sz w:val="10"/>
                <w:szCs w:val="10"/>
              </w:rPr>
            </w:pPr>
            <w:r>
              <w:rPr>
                <w:rFonts w:hint="default" w:ascii="宋体" w:hAnsi="宋体" w:eastAsia="宋体" w:cs="宋体"/>
                <w:i w:val="0"/>
                <w:iCs w:val="0"/>
                <w:color w:val="000000"/>
                <w:kern w:val="0"/>
                <w:sz w:val="18"/>
                <w:szCs w:val="18"/>
                <w:u w:val="none"/>
                <w:lang w:val="en-US" w:eastAsia="zh-CN" w:bidi="ar"/>
              </w:rPr>
              <w:t>合计</w:t>
            </w:r>
          </w:p>
        </w:tc>
        <w:tc>
          <w:tcPr>
            <w:tcW w:w="555" w:type="dxa"/>
            <w:vAlign w:val="center"/>
          </w:tcPr>
          <w:p w14:paraId="32FEC48A">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100</w:t>
            </w:r>
          </w:p>
        </w:tc>
        <w:tc>
          <w:tcPr>
            <w:tcW w:w="502" w:type="dxa"/>
            <w:vAlign w:val="center"/>
          </w:tcPr>
          <w:p w14:paraId="58A91A37">
            <w:pPr>
              <w:keepNext w:val="0"/>
              <w:keepLines w:val="0"/>
              <w:widowControl/>
              <w:suppressLineNumbers w:val="0"/>
              <w:spacing w:before="0" w:beforeAutospacing="0" w:after="0" w:afterAutospacing="0"/>
              <w:ind w:left="0" w:right="0"/>
              <w:jc w:val="right"/>
              <w:textAlignment w:val="center"/>
              <w:rPr>
                <w:rFonts w:hint="default"/>
                <w:sz w:val="10"/>
                <w:szCs w:val="10"/>
              </w:rPr>
            </w:pPr>
            <w:r>
              <w:rPr>
                <w:rFonts w:hint="default" w:ascii="宋体" w:hAnsi="宋体" w:eastAsia="宋体" w:cs="宋体"/>
                <w:i w:val="0"/>
                <w:iCs w:val="0"/>
                <w:color w:val="000000"/>
                <w:kern w:val="0"/>
                <w:sz w:val="18"/>
                <w:szCs w:val="18"/>
                <w:u w:val="none"/>
                <w:lang w:val="en-US" w:eastAsia="zh-CN" w:bidi="ar"/>
              </w:rPr>
              <w:t>81</w:t>
            </w:r>
          </w:p>
        </w:tc>
        <w:tc>
          <w:tcPr>
            <w:tcW w:w="2816" w:type="dxa"/>
            <w:vAlign w:val="center"/>
          </w:tcPr>
          <w:p w14:paraId="3623008F">
            <w:pPr>
              <w:keepNext w:val="0"/>
              <w:keepLines w:val="0"/>
              <w:suppressLineNumbers w:val="0"/>
              <w:spacing w:before="0" w:beforeAutospacing="0" w:after="0" w:afterAutospacing="0"/>
              <w:ind w:left="0" w:right="0"/>
              <w:rPr>
                <w:rFonts w:hint="default"/>
              </w:rPr>
            </w:pPr>
          </w:p>
        </w:tc>
      </w:tr>
    </w:tbl>
    <w:p w14:paraId="64532625">
      <w:pPr>
        <w:pStyle w:val="5"/>
        <w:rPr>
          <w:rFonts w:hint="eastAsia" w:ascii="仿宋_GB2312" w:hAnsi="Calibri" w:eastAsia="仿宋_GB2312" w:cs="仿宋"/>
          <w:color w:val="auto"/>
          <w:kern w:val="0"/>
          <w:sz w:val="32"/>
          <w:szCs w:val="32"/>
          <w:highlight w:val="none"/>
          <w:lang w:val="en-US" w:eastAsia="zh-CN" w:bidi="ar-SA"/>
        </w:rPr>
        <w:sectPr>
          <w:pgSz w:w="16838" w:h="11906" w:orient="landscape"/>
          <w:pgMar w:top="567" w:right="567" w:bottom="567" w:left="567" w:header="720" w:footer="720" w:gutter="0"/>
          <w:pgNumType w:fmt="decimal"/>
          <w:cols w:space="0" w:num="1"/>
          <w:rtlGutter w:val="0"/>
          <w:docGrid w:type="lines" w:linePitch="312" w:charSpace="0"/>
        </w:sectPr>
      </w:pPr>
    </w:p>
    <w:tbl>
      <w:tblPr>
        <w:tblStyle w:val="15"/>
        <w:tblW w:w="0" w:type="auto"/>
        <w:tblInd w:w="-1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9"/>
        <w:gridCol w:w="531"/>
        <w:gridCol w:w="175"/>
        <w:gridCol w:w="2120"/>
        <w:gridCol w:w="1833"/>
        <w:gridCol w:w="2339"/>
        <w:gridCol w:w="538"/>
        <w:gridCol w:w="1733"/>
        <w:gridCol w:w="539"/>
        <w:gridCol w:w="1127"/>
        <w:gridCol w:w="521"/>
        <w:gridCol w:w="471"/>
        <w:gridCol w:w="3557"/>
        <w:gridCol w:w="41"/>
      </w:tblGrid>
      <w:tr w14:paraId="7B68E4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49" w:type="dxa"/>
          <w:trHeight w:val="276" w:hRule="atLeast"/>
        </w:trPr>
        <w:tc>
          <w:tcPr>
            <w:tcW w:w="15525" w:type="dxa"/>
            <w:gridSpan w:val="13"/>
            <w:vAlign w:val="center"/>
          </w:tcPr>
          <w:p w14:paraId="6CA32BDE">
            <w:pPr>
              <w:keepNext w:val="0"/>
              <w:keepLines w:val="0"/>
              <w:widowControl/>
              <w:suppressLineNumbers w:val="0"/>
              <w:spacing w:before="0" w:beforeAutospacing="0" w:after="0" w:afterAutospacing="0"/>
              <w:ind w:left="0" w:right="0"/>
              <w:jc w:val="center"/>
              <w:textAlignment w:val="center"/>
              <w:rPr>
                <w:rFonts w:hint="eastAsia" w:ascii="黑体" w:eastAsia="黑体"/>
                <w:b/>
                <w:sz w:val="30"/>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1EDB3B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49" w:type="dxa"/>
          <w:trHeight w:val="272" w:hRule="atLeast"/>
        </w:trPr>
        <w:tc>
          <w:tcPr>
            <w:tcW w:w="2826" w:type="dxa"/>
            <w:gridSpan w:val="3"/>
            <w:vAlign w:val="center"/>
          </w:tcPr>
          <w:p w14:paraId="0BA75E56">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项目名称</w:t>
            </w:r>
          </w:p>
        </w:tc>
        <w:tc>
          <w:tcPr>
            <w:tcW w:w="12699" w:type="dxa"/>
            <w:gridSpan w:val="10"/>
            <w:vAlign w:val="center"/>
          </w:tcPr>
          <w:p w14:paraId="527A9E0B">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51320021T000000049138-监督工作经费</w:t>
            </w:r>
          </w:p>
        </w:tc>
      </w:tr>
      <w:tr w14:paraId="6653F1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49" w:type="dxa"/>
          <w:trHeight w:val="524" w:hRule="atLeast"/>
        </w:trPr>
        <w:tc>
          <w:tcPr>
            <w:tcW w:w="2826" w:type="dxa"/>
            <w:gridSpan w:val="3"/>
            <w:vAlign w:val="center"/>
          </w:tcPr>
          <w:p w14:paraId="694A557F">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主管部门</w:t>
            </w:r>
          </w:p>
        </w:tc>
        <w:tc>
          <w:tcPr>
            <w:tcW w:w="6982" w:type="dxa"/>
            <w:gridSpan w:val="5"/>
            <w:vAlign w:val="center"/>
          </w:tcPr>
          <w:p w14:paraId="09602203">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州人大办公室部门</w:t>
            </w:r>
          </w:p>
        </w:tc>
        <w:tc>
          <w:tcPr>
            <w:tcW w:w="1127" w:type="dxa"/>
            <w:vAlign w:val="center"/>
          </w:tcPr>
          <w:p w14:paraId="7874D62D">
            <w:pPr>
              <w:keepNext w:val="0"/>
              <w:keepLines w:val="0"/>
              <w:widowControl/>
              <w:suppressLineNumbers w:val="0"/>
              <w:spacing w:before="0" w:beforeAutospacing="0" w:after="0" w:afterAutospacing="0"/>
              <w:ind w:left="0" w:right="0"/>
              <w:jc w:val="left"/>
              <w:textAlignment w:val="center"/>
              <w:rPr>
                <w:rFonts w:hint="eastAsia" w:ascii="黑体" w:eastAsia="黑体"/>
                <w:sz w:val="18"/>
              </w:rPr>
            </w:pPr>
            <w:r>
              <w:rPr>
                <w:rFonts w:hint="eastAsia" w:ascii="黑体" w:hAnsi="黑体" w:eastAsia="黑体" w:cs="黑体"/>
                <w:i w:val="0"/>
                <w:iCs w:val="0"/>
                <w:color w:val="000000"/>
                <w:kern w:val="0"/>
                <w:sz w:val="18"/>
                <w:szCs w:val="18"/>
                <w:u w:val="none"/>
                <w:lang w:val="en-US" w:eastAsia="zh-CN" w:bidi="ar"/>
              </w:rPr>
              <w:t>实施单位 （盖章）</w:t>
            </w:r>
          </w:p>
        </w:tc>
        <w:tc>
          <w:tcPr>
            <w:tcW w:w="4590" w:type="dxa"/>
            <w:gridSpan w:val="4"/>
            <w:vAlign w:val="center"/>
          </w:tcPr>
          <w:p w14:paraId="601DA9AF">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州人大办公室</w:t>
            </w:r>
          </w:p>
        </w:tc>
      </w:tr>
      <w:tr w14:paraId="2A44D4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49" w:type="dxa"/>
          <w:trHeight w:val="272" w:hRule="atLeast"/>
        </w:trPr>
        <w:tc>
          <w:tcPr>
            <w:tcW w:w="706" w:type="dxa"/>
            <w:gridSpan w:val="2"/>
            <w:vMerge w:val="restart"/>
            <w:vAlign w:val="center"/>
          </w:tcPr>
          <w:p w14:paraId="58B13FEE">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项目基本情况</w:t>
            </w:r>
          </w:p>
        </w:tc>
        <w:tc>
          <w:tcPr>
            <w:tcW w:w="2120" w:type="dxa"/>
            <w:vMerge w:val="restart"/>
            <w:vAlign w:val="center"/>
          </w:tcPr>
          <w:p w14:paraId="3ABA117A">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982" w:type="dxa"/>
            <w:gridSpan w:val="5"/>
            <w:vAlign w:val="center"/>
          </w:tcPr>
          <w:p w14:paraId="55699FCD">
            <w:pPr>
              <w:keepNext w:val="0"/>
              <w:keepLines w:val="0"/>
              <w:widowControl/>
              <w:suppressLineNumbers w:val="0"/>
              <w:spacing w:before="0" w:beforeAutospacing="0" w:after="0" w:afterAutospacing="0"/>
              <w:ind w:left="0" w:right="0"/>
              <w:jc w:val="center"/>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项目年度目标</w:t>
            </w:r>
          </w:p>
        </w:tc>
        <w:tc>
          <w:tcPr>
            <w:tcW w:w="5717" w:type="dxa"/>
            <w:gridSpan w:val="5"/>
            <w:vAlign w:val="center"/>
          </w:tcPr>
          <w:p w14:paraId="048D73C1">
            <w:pPr>
              <w:keepNext w:val="0"/>
              <w:keepLines w:val="0"/>
              <w:widowControl/>
              <w:suppressLineNumbers w:val="0"/>
              <w:spacing w:before="0" w:beforeAutospacing="0" w:after="0" w:afterAutospacing="0"/>
              <w:ind w:left="0" w:right="0"/>
              <w:jc w:val="center"/>
              <w:textAlignment w:val="center"/>
              <w:rPr>
                <w:rFonts w:hint="eastAsia" w:ascii="黑体" w:eastAsia="黑体"/>
                <w:sz w:val="18"/>
              </w:rPr>
            </w:pPr>
            <w:r>
              <w:rPr>
                <w:rFonts w:hint="eastAsia" w:ascii="黑体" w:hAnsi="黑体" w:eastAsia="黑体" w:cs="黑体"/>
                <w:i w:val="0"/>
                <w:iCs w:val="0"/>
                <w:color w:val="000000"/>
                <w:kern w:val="0"/>
                <w:sz w:val="18"/>
                <w:szCs w:val="18"/>
                <w:u w:val="none"/>
                <w:lang w:val="en-US" w:eastAsia="zh-CN" w:bidi="ar"/>
              </w:rPr>
              <w:t>年度目标完成情况</w:t>
            </w:r>
          </w:p>
        </w:tc>
      </w:tr>
      <w:tr w14:paraId="0F3D4C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49" w:type="dxa"/>
          <w:trHeight w:val="760" w:hRule="atLeast"/>
        </w:trPr>
        <w:tc>
          <w:tcPr>
            <w:tcW w:w="706" w:type="dxa"/>
            <w:gridSpan w:val="2"/>
            <w:vMerge w:val="continue"/>
            <w:tcBorders>
              <w:top w:val="nil"/>
            </w:tcBorders>
            <w:vAlign w:val="center"/>
          </w:tcPr>
          <w:p w14:paraId="6F37998B">
            <w:pPr>
              <w:keepNext w:val="0"/>
              <w:keepLines w:val="0"/>
              <w:suppressLineNumbers w:val="0"/>
              <w:spacing w:before="0" w:beforeAutospacing="0" w:after="0" w:afterAutospacing="0"/>
              <w:ind w:left="0" w:right="0"/>
              <w:rPr>
                <w:rFonts w:hint="default"/>
                <w:sz w:val="2"/>
                <w:szCs w:val="2"/>
              </w:rPr>
            </w:pPr>
          </w:p>
        </w:tc>
        <w:tc>
          <w:tcPr>
            <w:tcW w:w="2120" w:type="dxa"/>
            <w:vMerge w:val="continue"/>
            <w:tcBorders>
              <w:top w:val="nil"/>
            </w:tcBorders>
            <w:vAlign w:val="center"/>
          </w:tcPr>
          <w:p w14:paraId="643B7DC3">
            <w:pPr>
              <w:keepNext w:val="0"/>
              <w:keepLines w:val="0"/>
              <w:suppressLineNumbers w:val="0"/>
              <w:spacing w:before="0" w:beforeAutospacing="0" w:after="0" w:afterAutospacing="0"/>
              <w:ind w:left="0" w:right="0"/>
              <w:rPr>
                <w:rFonts w:hint="default"/>
                <w:sz w:val="2"/>
                <w:szCs w:val="2"/>
              </w:rPr>
            </w:pPr>
          </w:p>
        </w:tc>
        <w:tc>
          <w:tcPr>
            <w:tcW w:w="6982" w:type="dxa"/>
            <w:gridSpan w:val="5"/>
            <w:vAlign w:val="center"/>
          </w:tcPr>
          <w:p w14:paraId="1A9B303C">
            <w:pPr>
              <w:keepNext w:val="0"/>
              <w:keepLines w:val="0"/>
              <w:widowControl/>
              <w:suppressLineNumbers w:val="0"/>
              <w:spacing w:before="0" w:beforeAutospacing="0" w:after="0" w:afterAutospacing="0"/>
              <w:ind w:left="0" w:right="0"/>
              <w:jc w:val="left"/>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　一、听取审议工作报告  二、开展执法检查 三、开展视察、调研 四、强化对审议意见落实和代表意见建议的办理的监督 五、强化对人民群众来信来访的接待办理和监督 六、通过任前亮相任后监督等措施对“一府两院”工作人员监督。</w:t>
            </w:r>
          </w:p>
        </w:tc>
        <w:tc>
          <w:tcPr>
            <w:tcW w:w="5717" w:type="dxa"/>
            <w:gridSpan w:val="5"/>
            <w:vAlign w:val="center"/>
          </w:tcPr>
          <w:p w14:paraId="31A2BF95">
            <w:pPr>
              <w:keepNext w:val="0"/>
              <w:keepLines w:val="0"/>
              <w:widowControl/>
              <w:suppressLineNumbers w:val="0"/>
              <w:spacing w:before="0" w:beforeAutospacing="0" w:after="0" w:afterAutospacing="0"/>
              <w:ind w:left="0" w:right="0"/>
              <w:jc w:val="left"/>
              <w:textAlignment w:val="center"/>
              <w:rPr>
                <w:rFonts w:hint="eastAsia" w:ascii="黑体" w:eastAsia="黑体"/>
                <w:sz w:val="10"/>
                <w:szCs w:val="10"/>
              </w:rPr>
            </w:pPr>
            <w:r>
              <w:rPr>
                <w:rFonts w:hint="eastAsia" w:ascii="黑体" w:hAnsi="黑体" w:eastAsia="黑体" w:cs="黑体"/>
                <w:i w:val="0"/>
                <w:iCs w:val="0"/>
                <w:color w:val="000000"/>
                <w:kern w:val="0"/>
                <w:sz w:val="10"/>
                <w:szCs w:val="10"/>
                <w:u w:val="none"/>
                <w:lang w:val="en-US" w:eastAsia="zh-CN" w:bidi="ar"/>
              </w:rPr>
              <w:t>听取和审议2023年和2024年上半年国民经济和社会发展计划执行情况、2023年财政预算执行情况和2024年财政预算草案、2023年财政决算和2024年1至6月财政预算执行情况、2023年州本级财政预算执行和其他财政收支审计工作等报告，强化对政府债务限额、国有资产管理等方面审查监督。常态化开展预算联网监督，督促25个部门整改预算执行中的不规范问题119个。成功申报全省第二批预算联网监督示范点，全年完成6件生态保护方面法规修订，组织57名全国、省、州人大代表联动开展生态环境保护情况集中视察和《中华人民共和国黄河保护法》执行情况专题调研，开展《中华人民共和国食品安全法》《四川省铁路安全管理条例》等执法检查，完成27名州人民政府工作部门工作人员2023年度履职评议工作。</w:t>
            </w:r>
          </w:p>
        </w:tc>
      </w:tr>
      <w:tr w14:paraId="2ADADC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49" w:type="dxa"/>
          <w:trHeight w:val="973" w:hRule="atLeast"/>
        </w:trPr>
        <w:tc>
          <w:tcPr>
            <w:tcW w:w="706" w:type="dxa"/>
            <w:gridSpan w:val="2"/>
            <w:vMerge w:val="continue"/>
            <w:tcBorders>
              <w:top w:val="nil"/>
            </w:tcBorders>
            <w:vAlign w:val="center"/>
          </w:tcPr>
          <w:p w14:paraId="679ABC73">
            <w:pPr>
              <w:keepNext w:val="0"/>
              <w:keepLines w:val="0"/>
              <w:suppressLineNumbers w:val="0"/>
              <w:spacing w:before="0" w:beforeAutospacing="0" w:after="0" w:afterAutospacing="0"/>
              <w:ind w:left="0" w:right="0"/>
              <w:rPr>
                <w:rFonts w:hint="default"/>
                <w:sz w:val="2"/>
                <w:szCs w:val="2"/>
              </w:rPr>
            </w:pPr>
          </w:p>
        </w:tc>
        <w:tc>
          <w:tcPr>
            <w:tcW w:w="2120" w:type="dxa"/>
            <w:vAlign w:val="center"/>
          </w:tcPr>
          <w:p w14:paraId="77E52221">
            <w:pPr>
              <w:keepNext w:val="0"/>
              <w:keepLines w:val="0"/>
              <w:widowControl/>
              <w:suppressLineNumbers w:val="0"/>
              <w:spacing w:before="0" w:beforeAutospacing="0" w:after="0" w:afterAutospacing="0"/>
              <w:ind w:left="0" w:right="0"/>
              <w:jc w:val="left"/>
              <w:textAlignment w:val="center"/>
              <w:rPr>
                <w:rFonts w:hint="default"/>
                <w:sz w:val="18"/>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699" w:type="dxa"/>
            <w:gridSpan w:val="10"/>
            <w:vAlign w:val="center"/>
          </w:tcPr>
          <w:p w14:paraId="2B8EDCBC">
            <w:pPr>
              <w:keepNext w:val="0"/>
              <w:keepLines w:val="0"/>
              <w:widowControl/>
              <w:suppressLineNumbers w:val="0"/>
              <w:spacing w:before="0" w:beforeAutospacing="0" w:after="0" w:afterAutospacing="0"/>
              <w:ind w:left="0" w:right="0"/>
              <w:jc w:val="left"/>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听取和审议2023年和2024年上半年国民经济和社会发展计划执行情况、2023年财政预算执行情况和2024年财政预算草案、2023年财政决算和2024年1至6月财政预算执行情况、2023年州本级财政预算执行和其他财政收支审计工作等报告，强化对政府债务限额、国有资产管理等方面审查监督。常态化开展预算联网监督，督促25个部门整改预算执行中的不规范问题119个。成功申报全省第二批预算联网监督示范点，全年完成6件生态保护方面法规修订，组织57名全国、省、州人大代表联动开展生态环境保护情况集中视察和《中华人民共和国黄河保护法》执行情况专题调研，开展《中华人民共和国食品安全法》《四川省铁路安全管理条例》等执法检查，完成27名州人民政府工作部门工作人员2023年度履职评议工作。</w:t>
            </w:r>
          </w:p>
        </w:tc>
      </w:tr>
      <w:tr w14:paraId="023281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49" w:type="dxa"/>
          <w:trHeight w:val="290" w:hRule="atLeast"/>
        </w:trPr>
        <w:tc>
          <w:tcPr>
            <w:tcW w:w="706" w:type="dxa"/>
            <w:gridSpan w:val="2"/>
            <w:vMerge w:val="restart"/>
            <w:vAlign w:val="center"/>
          </w:tcPr>
          <w:p w14:paraId="63A54F3F">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预算执行情况（10分）</w:t>
            </w:r>
          </w:p>
        </w:tc>
        <w:tc>
          <w:tcPr>
            <w:tcW w:w="2120" w:type="dxa"/>
            <w:vAlign w:val="center"/>
          </w:tcPr>
          <w:p w14:paraId="639080AB">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年度预算数（万元）</w:t>
            </w:r>
          </w:p>
        </w:tc>
        <w:tc>
          <w:tcPr>
            <w:tcW w:w="1833" w:type="dxa"/>
            <w:vAlign w:val="center"/>
          </w:tcPr>
          <w:p w14:paraId="7F2B4A07">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年初预算</w:t>
            </w:r>
          </w:p>
        </w:tc>
        <w:tc>
          <w:tcPr>
            <w:tcW w:w="2339" w:type="dxa"/>
            <w:vAlign w:val="center"/>
          </w:tcPr>
          <w:p w14:paraId="21C1DD64">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调整后预算数</w:t>
            </w:r>
          </w:p>
        </w:tc>
        <w:tc>
          <w:tcPr>
            <w:tcW w:w="2810" w:type="dxa"/>
            <w:gridSpan w:val="3"/>
            <w:vAlign w:val="center"/>
          </w:tcPr>
          <w:p w14:paraId="332E9B78">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预算执行数</w:t>
            </w:r>
          </w:p>
        </w:tc>
        <w:tc>
          <w:tcPr>
            <w:tcW w:w="1127" w:type="dxa"/>
            <w:vAlign w:val="center"/>
          </w:tcPr>
          <w:p w14:paraId="64A2212B">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预算执行率</w:t>
            </w:r>
          </w:p>
        </w:tc>
        <w:tc>
          <w:tcPr>
            <w:tcW w:w="521" w:type="dxa"/>
            <w:vAlign w:val="center"/>
          </w:tcPr>
          <w:p w14:paraId="36937A9B">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权重</w:t>
            </w:r>
          </w:p>
        </w:tc>
        <w:tc>
          <w:tcPr>
            <w:tcW w:w="471" w:type="dxa"/>
            <w:vAlign w:val="center"/>
          </w:tcPr>
          <w:p w14:paraId="4F20A11C">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得分</w:t>
            </w:r>
          </w:p>
        </w:tc>
        <w:tc>
          <w:tcPr>
            <w:tcW w:w="3598" w:type="dxa"/>
            <w:gridSpan w:val="2"/>
            <w:vAlign w:val="center"/>
          </w:tcPr>
          <w:p w14:paraId="729CA809">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原因</w:t>
            </w:r>
          </w:p>
        </w:tc>
      </w:tr>
      <w:tr w14:paraId="2FE47B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49" w:type="dxa"/>
          <w:trHeight w:val="272" w:hRule="atLeast"/>
        </w:trPr>
        <w:tc>
          <w:tcPr>
            <w:tcW w:w="706" w:type="dxa"/>
            <w:gridSpan w:val="2"/>
            <w:vMerge w:val="continue"/>
            <w:tcBorders>
              <w:top w:val="nil"/>
            </w:tcBorders>
            <w:vAlign w:val="center"/>
          </w:tcPr>
          <w:p w14:paraId="4E5EBA9C">
            <w:pPr>
              <w:keepNext w:val="0"/>
              <w:keepLines w:val="0"/>
              <w:suppressLineNumbers w:val="0"/>
              <w:spacing w:before="0" w:beforeAutospacing="0" w:after="0" w:afterAutospacing="0"/>
              <w:ind w:left="0" w:right="0"/>
              <w:jc w:val="center"/>
              <w:rPr>
                <w:rFonts w:hint="default"/>
                <w:sz w:val="10"/>
                <w:szCs w:val="10"/>
              </w:rPr>
            </w:pPr>
          </w:p>
        </w:tc>
        <w:tc>
          <w:tcPr>
            <w:tcW w:w="2120" w:type="dxa"/>
            <w:vAlign w:val="center"/>
          </w:tcPr>
          <w:p w14:paraId="6D592F69">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总额</w:t>
            </w:r>
          </w:p>
        </w:tc>
        <w:tc>
          <w:tcPr>
            <w:tcW w:w="1833" w:type="dxa"/>
            <w:vAlign w:val="center"/>
          </w:tcPr>
          <w:p w14:paraId="5BF92D87">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30.00</w:t>
            </w:r>
          </w:p>
        </w:tc>
        <w:tc>
          <w:tcPr>
            <w:tcW w:w="2339" w:type="dxa"/>
            <w:vAlign w:val="center"/>
          </w:tcPr>
          <w:p w14:paraId="0607CBCE">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30.00</w:t>
            </w:r>
          </w:p>
        </w:tc>
        <w:tc>
          <w:tcPr>
            <w:tcW w:w="2810" w:type="dxa"/>
            <w:gridSpan w:val="3"/>
            <w:vAlign w:val="center"/>
          </w:tcPr>
          <w:p w14:paraId="0DFCC781">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30.00</w:t>
            </w:r>
          </w:p>
        </w:tc>
        <w:tc>
          <w:tcPr>
            <w:tcW w:w="1127" w:type="dxa"/>
            <w:vAlign w:val="center"/>
          </w:tcPr>
          <w:p w14:paraId="0B2212CE">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100.00%</w:t>
            </w:r>
          </w:p>
        </w:tc>
        <w:tc>
          <w:tcPr>
            <w:tcW w:w="521" w:type="dxa"/>
            <w:vAlign w:val="center"/>
          </w:tcPr>
          <w:p w14:paraId="3F148164">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10</w:t>
            </w:r>
          </w:p>
        </w:tc>
        <w:tc>
          <w:tcPr>
            <w:tcW w:w="471" w:type="dxa"/>
            <w:vAlign w:val="center"/>
          </w:tcPr>
          <w:p w14:paraId="23AD7383">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10</w:t>
            </w:r>
          </w:p>
        </w:tc>
        <w:tc>
          <w:tcPr>
            <w:tcW w:w="3598" w:type="dxa"/>
            <w:gridSpan w:val="2"/>
            <w:vMerge w:val="restart"/>
            <w:vAlign w:val="center"/>
          </w:tcPr>
          <w:p w14:paraId="23D8E707">
            <w:pPr>
              <w:keepNext w:val="0"/>
              <w:keepLines w:val="0"/>
              <w:widowControl/>
              <w:suppressLineNumbers w:val="0"/>
              <w:spacing w:before="0" w:beforeAutospacing="0" w:after="0" w:afterAutospacing="0"/>
              <w:ind w:left="0" w:right="0"/>
              <w:jc w:val="left"/>
              <w:textAlignment w:val="center"/>
              <w:rPr>
                <w:rFonts w:hint="default" w:ascii="Times New Roman"/>
                <w:sz w:val="10"/>
                <w:szCs w:val="10"/>
              </w:rPr>
            </w:pPr>
            <w:r>
              <w:rPr>
                <w:rFonts w:hint="eastAsia" w:ascii="黑体" w:hAnsi="黑体" w:eastAsia="黑体" w:cs="黑体"/>
                <w:i/>
                <w:iCs/>
                <w:color w:val="000000"/>
                <w:kern w:val="0"/>
                <w:sz w:val="10"/>
                <w:szCs w:val="10"/>
                <w:u w:val="none"/>
                <w:lang w:val="en-US" w:eastAsia="zh-CN" w:bidi="ar"/>
              </w:rPr>
              <w:t>预算执行率为100%.</w:t>
            </w:r>
          </w:p>
        </w:tc>
      </w:tr>
      <w:tr w14:paraId="45ED39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49" w:type="dxa"/>
          <w:trHeight w:val="227" w:hRule="atLeast"/>
        </w:trPr>
        <w:tc>
          <w:tcPr>
            <w:tcW w:w="706" w:type="dxa"/>
            <w:gridSpan w:val="2"/>
            <w:vMerge w:val="continue"/>
            <w:tcBorders>
              <w:top w:val="nil"/>
            </w:tcBorders>
            <w:vAlign w:val="center"/>
          </w:tcPr>
          <w:p w14:paraId="3541ECA8">
            <w:pPr>
              <w:keepNext w:val="0"/>
              <w:keepLines w:val="0"/>
              <w:suppressLineNumbers w:val="0"/>
              <w:spacing w:before="0" w:beforeAutospacing="0" w:after="0" w:afterAutospacing="0"/>
              <w:ind w:left="0" w:right="0"/>
              <w:jc w:val="center"/>
              <w:rPr>
                <w:rFonts w:hint="default"/>
                <w:sz w:val="10"/>
                <w:szCs w:val="10"/>
              </w:rPr>
            </w:pPr>
          </w:p>
        </w:tc>
        <w:tc>
          <w:tcPr>
            <w:tcW w:w="2120" w:type="dxa"/>
            <w:vAlign w:val="center"/>
          </w:tcPr>
          <w:p w14:paraId="58578AF2">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其中：财政资金</w:t>
            </w:r>
          </w:p>
        </w:tc>
        <w:tc>
          <w:tcPr>
            <w:tcW w:w="1833" w:type="dxa"/>
            <w:vAlign w:val="center"/>
          </w:tcPr>
          <w:p w14:paraId="49B55CD8">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30.00</w:t>
            </w:r>
          </w:p>
        </w:tc>
        <w:tc>
          <w:tcPr>
            <w:tcW w:w="2339" w:type="dxa"/>
            <w:vAlign w:val="center"/>
          </w:tcPr>
          <w:p w14:paraId="786566F8">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30.00</w:t>
            </w:r>
          </w:p>
        </w:tc>
        <w:tc>
          <w:tcPr>
            <w:tcW w:w="2810" w:type="dxa"/>
            <w:gridSpan w:val="3"/>
            <w:vAlign w:val="center"/>
          </w:tcPr>
          <w:p w14:paraId="231D853E">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30.00</w:t>
            </w:r>
          </w:p>
        </w:tc>
        <w:tc>
          <w:tcPr>
            <w:tcW w:w="1127" w:type="dxa"/>
            <w:vAlign w:val="center"/>
          </w:tcPr>
          <w:p w14:paraId="12698784">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100.00%</w:t>
            </w:r>
          </w:p>
        </w:tc>
        <w:tc>
          <w:tcPr>
            <w:tcW w:w="521" w:type="dxa"/>
            <w:vAlign w:val="center"/>
          </w:tcPr>
          <w:p w14:paraId="4561F2BF">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w:t>
            </w:r>
          </w:p>
        </w:tc>
        <w:tc>
          <w:tcPr>
            <w:tcW w:w="471" w:type="dxa"/>
            <w:vAlign w:val="center"/>
          </w:tcPr>
          <w:p w14:paraId="05E86D08">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w:t>
            </w:r>
          </w:p>
        </w:tc>
        <w:tc>
          <w:tcPr>
            <w:tcW w:w="3598" w:type="dxa"/>
            <w:gridSpan w:val="2"/>
            <w:vMerge w:val="continue"/>
            <w:tcBorders>
              <w:top w:val="nil"/>
            </w:tcBorders>
            <w:vAlign w:val="center"/>
          </w:tcPr>
          <w:p w14:paraId="1649DF8B">
            <w:pPr>
              <w:keepNext w:val="0"/>
              <w:keepLines w:val="0"/>
              <w:suppressLineNumbers w:val="0"/>
              <w:spacing w:before="0" w:beforeAutospacing="0" w:after="0" w:afterAutospacing="0"/>
              <w:ind w:left="0" w:right="0"/>
              <w:rPr>
                <w:rFonts w:hint="default"/>
                <w:sz w:val="10"/>
                <w:szCs w:val="10"/>
              </w:rPr>
            </w:pPr>
          </w:p>
        </w:tc>
      </w:tr>
      <w:tr w14:paraId="74D442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49" w:type="dxa"/>
          <w:trHeight w:val="230" w:hRule="atLeast"/>
        </w:trPr>
        <w:tc>
          <w:tcPr>
            <w:tcW w:w="706" w:type="dxa"/>
            <w:gridSpan w:val="2"/>
            <w:vMerge w:val="continue"/>
            <w:tcBorders>
              <w:top w:val="nil"/>
            </w:tcBorders>
            <w:vAlign w:val="center"/>
          </w:tcPr>
          <w:p w14:paraId="18948FB6">
            <w:pPr>
              <w:keepNext w:val="0"/>
              <w:keepLines w:val="0"/>
              <w:suppressLineNumbers w:val="0"/>
              <w:spacing w:before="0" w:beforeAutospacing="0" w:after="0" w:afterAutospacing="0"/>
              <w:ind w:left="0" w:right="0"/>
              <w:jc w:val="center"/>
              <w:rPr>
                <w:rFonts w:hint="default"/>
                <w:sz w:val="10"/>
                <w:szCs w:val="10"/>
              </w:rPr>
            </w:pPr>
          </w:p>
        </w:tc>
        <w:tc>
          <w:tcPr>
            <w:tcW w:w="2120" w:type="dxa"/>
            <w:vAlign w:val="center"/>
          </w:tcPr>
          <w:p w14:paraId="7483BD30">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财政专户管理资金</w:t>
            </w:r>
          </w:p>
        </w:tc>
        <w:tc>
          <w:tcPr>
            <w:tcW w:w="1833" w:type="dxa"/>
            <w:vAlign w:val="center"/>
          </w:tcPr>
          <w:p w14:paraId="1F4E8DE3">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0.00</w:t>
            </w:r>
          </w:p>
        </w:tc>
        <w:tc>
          <w:tcPr>
            <w:tcW w:w="2339" w:type="dxa"/>
            <w:vAlign w:val="center"/>
          </w:tcPr>
          <w:p w14:paraId="2DC43679">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0.00</w:t>
            </w:r>
          </w:p>
        </w:tc>
        <w:tc>
          <w:tcPr>
            <w:tcW w:w="2810" w:type="dxa"/>
            <w:gridSpan w:val="3"/>
            <w:vAlign w:val="center"/>
          </w:tcPr>
          <w:p w14:paraId="2576965E">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0.00</w:t>
            </w:r>
          </w:p>
        </w:tc>
        <w:tc>
          <w:tcPr>
            <w:tcW w:w="1127" w:type="dxa"/>
            <w:vAlign w:val="center"/>
          </w:tcPr>
          <w:p w14:paraId="38847ED1">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0.00%</w:t>
            </w:r>
          </w:p>
        </w:tc>
        <w:tc>
          <w:tcPr>
            <w:tcW w:w="521" w:type="dxa"/>
            <w:vAlign w:val="center"/>
          </w:tcPr>
          <w:p w14:paraId="623FB794">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w:t>
            </w:r>
          </w:p>
        </w:tc>
        <w:tc>
          <w:tcPr>
            <w:tcW w:w="471" w:type="dxa"/>
            <w:vAlign w:val="center"/>
          </w:tcPr>
          <w:p w14:paraId="70327216">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w:t>
            </w:r>
          </w:p>
        </w:tc>
        <w:tc>
          <w:tcPr>
            <w:tcW w:w="3598" w:type="dxa"/>
            <w:gridSpan w:val="2"/>
            <w:vMerge w:val="continue"/>
            <w:tcBorders>
              <w:top w:val="nil"/>
            </w:tcBorders>
            <w:vAlign w:val="center"/>
          </w:tcPr>
          <w:p w14:paraId="3120F263">
            <w:pPr>
              <w:keepNext w:val="0"/>
              <w:keepLines w:val="0"/>
              <w:suppressLineNumbers w:val="0"/>
              <w:spacing w:before="0" w:beforeAutospacing="0" w:after="0" w:afterAutospacing="0"/>
              <w:ind w:left="0" w:right="0"/>
              <w:rPr>
                <w:rFonts w:hint="default"/>
                <w:sz w:val="10"/>
                <w:szCs w:val="10"/>
              </w:rPr>
            </w:pPr>
          </w:p>
        </w:tc>
      </w:tr>
      <w:tr w14:paraId="2327A0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49" w:type="dxa"/>
          <w:trHeight w:val="162" w:hRule="atLeast"/>
        </w:trPr>
        <w:tc>
          <w:tcPr>
            <w:tcW w:w="706" w:type="dxa"/>
            <w:gridSpan w:val="2"/>
            <w:vMerge w:val="continue"/>
            <w:tcBorders>
              <w:top w:val="nil"/>
            </w:tcBorders>
            <w:vAlign w:val="center"/>
          </w:tcPr>
          <w:p w14:paraId="477C44C4">
            <w:pPr>
              <w:keepNext w:val="0"/>
              <w:keepLines w:val="0"/>
              <w:suppressLineNumbers w:val="0"/>
              <w:spacing w:before="0" w:beforeAutospacing="0" w:after="0" w:afterAutospacing="0"/>
              <w:ind w:left="0" w:right="0"/>
              <w:jc w:val="center"/>
              <w:rPr>
                <w:rFonts w:hint="default"/>
                <w:sz w:val="10"/>
                <w:szCs w:val="10"/>
              </w:rPr>
            </w:pPr>
          </w:p>
        </w:tc>
        <w:tc>
          <w:tcPr>
            <w:tcW w:w="2120" w:type="dxa"/>
            <w:vAlign w:val="center"/>
          </w:tcPr>
          <w:p w14:paraId="096044B2">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单位资金</w:t>
            </w:r>
          </w:p>
        </w:tc>
        <w:tc>
          <w:tcPr>
            <w:tcW w:w="1833" w:type="dxa"/>
            <w:vAlign w:val="center"/>
          </w:tcPr>
          <w:p w14:paraId="42D123A0">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0.00</w:t>
            </w:r>
          </w:p>
        </w:tc>
        <w:tc>
          <w:tcPr>
            <w:tcW w:w="2339" w:type="dxa"/>
            <w:vAlign w:val="center"/>
          </w:tcPr>
          <w:p w14:paraId="564F926F">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0.00</w:t>
            </w:r>
          </w:p>
        </w:tc>
        <w:tc>
          <w:tcPr>
            <w:tcW w:w="2810" w:type="dxa"/>
            <w:gridSpan w:val="3"/>
            <w:vAlign w:val="center"/>
          </w:tcPr>
          <w:p w14:paraId="553C8A86">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0.00</w:t>
            </w:r>
          </w:p>
        </w:tc>
        <w:tc>
          <w:tcPr>
            <w:tcW w:w="1127" w:type="dxa"/>
            <w:vAlign w:val="center"/>
          </w:tcPr>
          <w:p w14:paraId="75C0CD0D">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0.00%</w:t>
            </w:r>
          </w:p>
        </w:tc>
        <w:tc>
          <w:tcPr>
            <w:tcW w:w="521" w:type="dxa"/>
            <w:vAlign w:val="center"/>
          </w:tcPr>
          <w:p w14:paraId="04696A1B">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w:t>
            </w:r>
          </w:p>
        </w:tc>
        <w:tc>
          <w:tcPr>
            <w:tcW w:w="471" w:type="dxa"/>
            <w:vAlign w:val="center"/>
          </w:tcPr>
          <w:p w14:paraId="5BDD5AF4">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w:t>
            </w:r>
          </w:p>
        </w:tc>
        <w:tc>
          <w:tcPr>
            <w:tcW w:w="3598" w:type="dxa"/>
            <w:gridSpan w:val="2"/>
            <w:vMerge w:val="continue"/>
            <w:tcBorders>
              <w:top w:val="nil"/>
            </w:tcBorders>
            <w:vAlign w:val="center"/>
          </w:tcPr>
          <w:p w14:paraId="59047E64">
            <w:pPr>
              <w:keepNext w:val="0"/>
              <w:keepLines w:val="0"/>
              <w:suppressLineNumbers w:val="0"/>
              <w:spacing w:before="0" w:beforeAutospacing="0" w:after="0" w:afterAutospacing="0"/>
              <w:ind w:left="0" w:right="0"/>
              <w:rPr>
                <w:rFonts w:hint="default"/>
                <w:sz w:val="10"/>
                <w:szCs w:val="10"/>
              </w:rPr>
            </w:pPr>
          </w:p>
        </w:tc>
      </w:tr>
      <w:tr w14:paraId="0E9682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49" w:type="dxa"/>
          <w:trHeight w:val="149" w:hRule="atLeast"/>
        </w:trPr>
        <w:tc>
          <w:tcPr>
            <w:tcW w:w="706" w:type="dxa"/>
            <w:gridSpan w:val="2"/>
            <w:vMerge w:val="continue"/>
            <w:tcBorders>
              <w:top w:val="nil"/>
            </w:tcBorders>
            <w:vAlign w:val="center"/>
          </w:tcPr>
          <w:p w14:paraId="75D4CFBF">
            <w:pPr>
              <w:keepNext w:val="0"/>
              <w:keepLines w:val="0"/>
              <w:suppressLineNumbers w:val="0"/>
              <w:spacing w:before="0" w:beforeAutospacing="0" w:after="0" w:afterAutospacing="0"/>
              <w:ind w:left="0" w:right="0"/>
              <w:jc w:val="center"/>
              <w:rPr>
                <w:rFonts w:hint="default"/>
                <w:sz w:val="10"/>
                <w:szCs w:val="10"/>
              </w:rPr>
            </w:pPr>
          </w:p>
        </w:tc>
        <w:tc>
          <w:tcPr>
            <w:tcW w:w="2120" w:type="dxa"/>
            <w:vAlign w:val="center"/>
          </w:tcPr>
          <w:p w14:paraId="2FFB2A51">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其他资金</w:t>
            </w:r>
          </w:p>
        </w:tc>
        <w:tc>
          <w:tcPr>
            <w:tcW w:w="1833" w:type="dxa"/>
            <w:vAlign w:val="center"/>
          </w:tcPr>
          <w:p w14:paraId="1BB3142C">
            <w:pPr>
              <w:keepNext w:val="0"/>
              <w:keepLines w:val="0"/>
              <w:suppressLineNumbers w:val="0"/>
              <w:spacing w:before="0" w:beforeAutospacing="0" w:after="0" w:afterAutospacing="0"/>
              <w:ind w:left="0" w:right="0"/>
              <w:jc w:val="center"/>
              <w:rPr>
                <w:rFonts w:hint="default" w:ascii="Times New Roman"/>
                <w:sz w:val="10"/>
                <w:szCs w:val="10"/>
              </w:rPr>
            </w:pPr>
          </w:p>
        </w:tc>
        <w:tc>
          <w:tcPr>
            <w:tcW w:w="2339" w:type="dxa"/>
            <w:vAlign w:val="center"/>
          </w:tcPr>
          <w:p w14:paraId="23B88F5F">
            <w:pPr>
              <w:keepNext w:val="0"/>
              <w:keepLines w:val="0"/>
              <w:suppressLineNumbers w:val="0"/>
              <w:spacing w:before="0" w:beforeAutospacing="0" w:after="0" w:afterAutospacing="0"/>
              <w:ind w:left="0" w:right="0"/>
              <w:jc w:val="center"/>
              <w:rPr>
                <w:rFonts w:hint="default" w:ascii="Times New Roman"/>
                <w:sz w:val="10"/>
                <w:szCs w:val="10"/>
              </w:rPr>
            </w:pPr>
          </w:p>
        </w:tc>
        <w:tc>
          <w:tcPr>
            <w:tcW w:w="2810" w:type="dxa"/>
            <w:gridSpan w:val="3"/>
            <w:vAlign w:val="center"/>
          </w:tcPr>
          <w:p w14:paraId="202A1902">
            <w:pPr>
              <w:keepNext w:val="0"/>
              <w:keepLines w:val="0"/>
              <w:suppressLineNumbers w:val="0"/>
              <w:spacing w:before="0" w:beforeAutospacing="0" w:after="0" w:afterAutospacing="0"/>
              <w:ind w:left="0" w:right="0"/>
              <w:jc w:val="center"/>
              <w:rPr>
                <w:rFonts w:hint="default" w:ascii="Times New Roman"/>
                <w:sz w:val="10"/>
                <w:szCs w:val="10"/>
              </w:rPr>
            </w:pPr>
          </w:p>
        </w:tc>
        <w:tc>
          <w:tcPr>
            <w:tcW w:w="1127" w:type="dxa"/>
            <w:vAlign w:val="center"/>
          </w:tcPr>
          <w:p w14:paraId="754C7354">
            <w:pPr>
              <w:keepNext w:val="0"/>
              <w:keepLines w:val="0"/>
              <w:suppressLineNumbers w:val="0"/>
              <w:spacing w:before="0" w:beforeAutospacing="0" w:after="0" w:afterAutospacing="0"/>
              <w:ind w:left="0" w:right="0"/>
              <w:jc w:val="center"/>
              <w:rPr>
                <w:rFonts w:hint="default"/>
                <w:sz w:val="10"/>
                <w:szCs w:val="10"/>
              </w:rPr>
            </w:pPr>
          </w:p>
        </w:tc>
        <w:tc>
          <w:tcPr>
            <w:tcW w:w="521" w:type="dxa"/>
            <w:vAlign w:val="center"/>
          </w:tcPr>
          <w:p w14:paraId="4C3B2EC9">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w:t>
            </w:r>
          </w:p>
        </w:tc>
        <w:tc>
          <w:tcPr>
            <w:tcW w:w="471" w:type="dxa"/>
            <w:vAlign w:val="center"/>
          </w:tcPr>
          <w:p w14:paraId="2E9FBC98">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w:t>
            </w:r>
          </w:p>
        </w:tc>
        <w:tc>
          <w:tcPr>
            <w:tcW w:w="3598" w:type="dxa"/>
            <w:gridSpan w:val="2"/>
            <w:vMerge w:val="continue"/>
            <w:tcBorders>
              <w:top w:val="nil"/>
            </w:tcBorders>
            <w:vAlign w:val="center"/>
          </w:tcPr>
          <w:p w14:paraId="6919C87A">
            <w:pPr>
              <w:keepNext w:val="0"/>
              <w:keepLines w:val="0"/>
              <w:suppressLineNumbers w:val="0"/>
              <w:spacing w:before="0" w:beforeAutospacing="0" w:after="0" w:afterAutospacing="0"/>
              <w:ind w:left="0" w:right="0"/>
              <w:rPr>
                <w:rFonts w:hint="default"/>
                <w:sz w:val="10"/>
                <w:szCs w:val="10"/>
              </w:rPr>
            </w:pPr>
          </w:p>
        </w:tc>
      </w:tr>
      <w:tr w14:paraId="78F27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49" w:type="dxa"/>
          <w:trHeight w:val="272" w:hRule="atLeast"/>
        </w:trPr>
        <w:tc>
          <w:tcPr>
            <w:tcW w:w="706" w:type="dxa"/>
            <w:gridSpan w:val="2"/>
            <w:vMerge w:val="restart"/>
            <w:vAlign w:val="center"/>
          </w:tcPr>
          <w:p w14:paraId="1D285BEF">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绩效指标（90分）</w:t>
            </w:r>
          </w:p>
        </w:tc>
        <w:tc>
          <w:tcPr>
            <w:tcW w:w="2120" w:type="dxa"/>
            <w:vAlign w:val="center"/>
          </w:tcPr>
          <w:p w14:paraId="7E5CE928">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一级指标</w:t>
            </w:r>
          </w:p>
        </w:tc>
        <w:tc>
          <w:tcPr>
            <w:tcW w:w="1833" w:type="dxa"/>
            <w:vAlign w:val="center"/>
          </w:tcPr>
          <w:p w14:paraId="45BDFF1E">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二级指标</w:t>
            </w:r>
          </w:p>
        </w:tc>
        <w:tc>
          <w:tcPr>
            <w:tcW w:w="2339" w:type="dxa"/>
            <w:vAlign w:val="center"/>
          </w:tcPr>
          <w:p w14:paraId="27C0E398">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三级指标</w:t>
            </w:r>
          </w:p>
        </w:tc>
        <w:tc>
          <w:tcPr>
            <w:tcW w:w="538" w:type="dxa"/>
            <w:vAlign w:val="center"/>
          </w:tcPr>
          <w:p w14:paraId="69581C92">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指标性质</w:t>
            </w:r>
          </w:p>
        </w:tc>
        <w:tc>
          <w:tcPr>
            <w:tcW w:w="1733" w:type="dxa"/>
            <w:vAlign w:val="center"/>
          </w:tcPr>
          <w:p w14:paraId="19E5CB44">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指标值</w:t>
            </w:r>
          </w:p>
        </w:tc>
        <w:tc>
          <w:tcPr>
            <w:tcW w:w="539" w:type="dxa"/>
            <w:vAlign w:val="center"/>
          </w:tcPr>
          <w:p w14:paraId="572393D4">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度量单位</w:t>
            </w:r>
          </w:p>
        </w:tc>
        <w:tc>
          <w:tcPr>
            <w:tcW w:w="1127" w:type="dxa"/>
            <w:vAlign w:val="center"/>
          </w:tcPr>
          <w:p w14:paraId="13A81E4C">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完成值</w:t>
            </w:r>
          </w:p>
        </w:tc>
        <w:tc>
          <w:tcPr>
            <w:tcW w:w="521" w:type="dxa"/>
            <w:vAlign w:val="center"/>
          </w:tcPr>
          <w:p w14:paraId="13BB0AB8">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权重</w:t>
            </w:r>
          </w:p>
        </w:tc>
        <w:tc>
          <w:tcPr>
            <w:tcW w:w="471" w:type="dxa"/>
            <w:vAlign w:val="center"/>
          </w:tcPr>
          <w:p w14:paraId="2098FF6E">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得分</w:t>
            </w:r>
          </w:p>
        </w:tc>
        <w:tc>
          <w:tcPr>
            <w:tcW w:w="3598" w:type="dxa"/>
            <w:gridSpan w:val="2"/>
            <w:vAlign w:val="center"/>
          </w:tcPr>
          <w:p w14:paraId="72513E51">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未完成原因分析</w:t>
            </w:r>
          </w:p>
        </w:tc>
      </w:tr>
      <w:tr w14:paraId="1863A6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49" w:type="dxa"/>
          <w:trHeight w:val="213" w:hRule="atLeast"/>
        </w:trPr>
        <w:tc>
          <w:tcPr>
            <w:tcW w:w="706" w:type="dxa"/>
            <w:gridSpan w:val="2"/>
            <w:vMerge w:val="continue"/>
            <w:tcBorders>
              <w:top w:val="nil"/>
            </w:tcBorders>
            <w:vAlign w:val="center"/>
          </w:tcPr>
          <w:p w14:paraId="1E9D66F3">
            <w:pPr>
              <w:keepNext w:val="0"/>
              <w:keepLines w:val="0"/>
              <w:suppressLineNumbers w:val="0"/>
              <w:spacing w:before="0" w:beforeAutospacing="0" w:after="0" w:afterAutospacing="0"/>
              <w:ind w:left="0" w:right="0"/>
              <w:jc w:val="center"/>
              <w:rPr>
                <w:rFonts w:hint="default"/>
                <w:sz w:val="10"/>
                <w:szCs w:val="10"/>
              </w:rPr>
            </w:pPr>
          </w:p>
        </w:tc>
        <w:tc>
          <w:tcPr>
            <w:tcW w:w="2120" w:type="dxa"/>
            <w:vMerge w:val="restart"/>
            <w:vAlign w:val="center"/>
          </w:tcPr>
          <w:p w14:paraId="53D02371">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产出指标</w:t>
            </w:r>
          </w:p>
        </w:tc>
        <w:tc>
          <w:tcPr>
            <w:tcW w:w="1833" w:type="dxa"/>
            <w:vAlign w:val="center"/>
          </w:tcPr>
          <w:p w14:paraId="42FA0851">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数量指标</w:t>
            </w:r>
          </w:p>
        </w:tc>
        <w:tc>
          <w:tcPr>
            <w:tcW w:w="2339" w:type="dxa"/>
            <w:vAlign w:val="center"/>
          </w:tcPr>
          <w:p w14:paraId="78C3C9FC">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开展监督工作次数</w:t>
            </w:r>
          </w:p>
        </w:tc>
        <w:tc>
          <w:tcPr>
            <w:tcW w:w="538" w:type="dxa"/>
            <w:vAlign w:val="center"/>
          </w:tcPr>
          <w:p w14:paraId="4EDCD167">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w:t>
            </w:r>
          </w:p>
        </w:tc>
        <w:tc>
          <w:tcPr>
            <w:tcW w:w="1733" w:type="dxa"/>
            <w:vAlign w:val="center"/>
          </w:tcPr>
          <w:p w14:paraId="3AD07B3E">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15</w:t>
            </w:r>
          </w:p>
        </w:tc>
        <w:tc>
          <w:tcPr>
            <w:tcW w:w="539" w:type="dxa"/>
            <w:vAlign w:val="center"/>
          </w:tcPr>
          <w:p w14:paraId="1877C3F2">
            <w:pPr>
              <w:keepNext w:val="0"/>
              <w:keepLines w:val="0"/>
              <w:widowControl/>
              <w:suppressLineNumbers w:val="0"/>
              <w:spacing w:before="0" w:beforeAutospacing="0" w:after="0" w:afterAutospacing="0"/>
              <w:ind w:left="0" w:right="0"/>
              <w:jc w:val="center"/>
              <w:textAlignment w:val="center"/>
              <w:rPr>
                <w:rFonts w:hint="default" w:ascii="微软雅黑"/>
                <w:sz w:val="10"/>
                <w:szCs w:val="10"/>
              </w:rPr>
            </w:pPr>
            <w:r>
              <w:rPr>
                <w:rFonts w:hint="default" w:ascii="宋体" w:hAnsi="宋体" w:eastAsia="宋体" w:cs="宋体"/>
                <w:i w:val="0"/>
                <w:iCs w:val="0"/>
                <w:color w:val="000000"/>
                <w:kern w:val="0"/>
                <w:sz w:val="10"/>
                <w:szCs w:val="10"/>
                <w:u w:val="none"/>
                <w:lang w:val="en-US" w:eastAsia="zh-CN" w:bidi="ar"/>
              </w:rPr>
              <w:t>次</w:t>
            </w:r>
          </w:p>
        </w:tc>
        <w:tc>
          <w:tcPr>
            <w:tcW w:w="1127" w:type="dxa"/>
            <w:vAlign w:val="center"/>
          </w:tcPr>
          <w:p w14:paraId="77D4FA06">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eastAsia" w:ascii="微软雅黑" w:hAnsi="微软雅黑" w:eastAsia="微软雅黑" w:cs="微软雅黑"/>
                <w:i/>
                <w:iCs/>
                <w:color w:val="000000"/>
                <w:kern w:val="0"/>
                <w:sz w:val="10"/>
                <w:szCs w:val="10"/>
                <w:u w:val="none"/>
                <w:lang w:val="en-US" w:eastAsia="zh-CN" w:bidi="ar"/>
              </w:rPr>
              <w:t>15</w:t>
            </w:r>
          </w:p>
        </w:tc>
        <w:tc>
          <w:tcPr>
            <w:tcW w:w="521" w:type="dxa"/>
            <w:vAlign w:val="center"/>
          </w:tcPr>
          <w:p w14:paraId="0C962EF2">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10</w:t>
            </w:r>
          </w:p>
        </w:tc>
        <w:tc>
          <w:tcPr>
            <w:tcW w:w="471" w:type="dxa"/>
            <w:vAlign w:val="center"/>
          </w:tcPr>
          <w:p w14:paraId="2F0A4E96">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8</w:t>
            </w:r>
          </w:p>
        </w:tc>
        <w:tc>
          <w:tcPr>
            <w:tcW w:w="3598" w:type="dxa"/>
            <w:gridSpan w:val="2"/>
            <w:vAlign w:val="center"/>
          </w:tcPr>
          <w:p w14:paraId="13C17996">
            <w:pPr>
              <w:keepNext w:val="0"/>
              <w:keepLines w:val="0"/>
              <w:suppressLineNumbers w:val="0"/>
              <w:spacing w:before="0" w:beforeAutospacing="0" w:after="0" w:afterAutospacing="0"/>
              <w:ind w:left="0" w:right="0"/>
              <w:jc w:val="center"/>
              <w:rPr>
                <w:rFonts w:hint="default" w:ascii="Times New Roman"/>
                <w:sz w:val="10"/>
                <w:szCs w:val="10"/>
              </w:rPr>
            </w:pPr>
          </w:p>
        </w:tc>
      </w:tr>
      <w:tr w14:paraId="55E50F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49" w:type="dxa"/>
          <w:trHeight w:val="311" w:hRule="atLeast"/>
        </w:trPr>
        <w:tc>
          <w:tcPr>
            <w:tcW w:w="706" w:type="dxa"/>
            <w:gridSpan w:val="2"/>
            <w:vMerge w:val="continue"/>
            <w:tcBorders>
              <w:top w:val="nil"/>
            </w:tcBorders>
            <w:vAlign w:val="center"/>
          </w:tcPr>
          <w:p w14:paraId="5E17C460">
            <w:pPr>
              <w:keepNext w:val="0"/>
              <w:keepLines w:val="0"/>
              <w:suppressLineNumbers w:val="0"/>
              <w:spacing w:before="0" w:beforeAutospacing="0" w:after="0" w:afterAutospacing="0"/>
              <w:ind w:left="0" w:right="0"/>
              <w:jc w:val="center"/>
              <w:rPr>
                <w:rFonts w:hint="default"/>
                <w:sz w:val="10"/>
                <w:szCs w:val="10"/>
              </w:rPr>
            </w:pPr>
          </w:p>
        </w:tc>
        <w:tc>
          <w:tcPr>
            <w:tcW w:w="2120" w:type="dxa"/>
            <w:vMerge w:val="continue"/>
            <w:vAlign w:val="center"/>
          </w:tcPr>
          <w:p w14:paraId="12940A89">
            <w:pPr>
              <w:keepNext w:val="0"/>
              <w:keepLines w:val="0"/>
              <w:suppressLineNumbers w:val="0"/>
              <w:spacing w:before="0" w:beforeAutospacing="0" w:after="0" w:afterAutospacing="0"/>
              <w:ind w:left="0" w:right="0"/>
              <w:jc w:val="center"/>
              <w:rPr>
                <w:rFonts w:hint="default"/>
                <w:sz w:val="10"/>
                <w:szCs w:val="10"/>
              </w:rPr>
            </w:pPr>
          </w:p>
        </w:tc>
        <w:tc>
          <w:tcPr>
            <w:tcW w:w="1833" w:type="dxa"/>
            <w:vMerge w:val="restart"/>
            <w:vAlign w:val="center"/>
          </w:tcPr>
          <w:p w14:paraId="16AEA542">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质量指标</w:t>
            </w:r>
          </w:p>
        </w:tc>
        <w:tc>
          <w:tcPr>
            <w:tcW w:w="2339" w:type="dxa"/>
            <w:vAlign w:val="center"/>
          </w:tcPr>
          <w:p w14:paraId="562194B3">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支出合规性</w:t>
            </w:r>
          </w:p>
        </w:tc>
        <w:tc>
          <w:tcPr>
            <w:tcW w:w="538" w:type="dxa"/>
            <w:vAlign w:val="center"/>
          </w:tcPr>
          <w:p w14:paraId="0E3989D5">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定性</w:t>
            </w:r>
          </w:p>
        </w:tc>
        <w:tc>
          <w:tcPr>
            <w:tcW w:w="1733" w:type="dxa"/>
            <w:vAlign w:val="center"/>
          </w:tcPr>
          <w:p w14:paraId="478D3059">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合规</w:t>
            </w:r>
          </w:p>
        </w:tc>
        <w:tc>
          <w:tcPr>
            <w:tcW w:w="539" w:type="dxa"/>
            <w:vAlign w:val="center"/>
          </w:tcPr>
          <w:p w14:paraId="3341BB7E">
            <w:pPr>
              <w:keepNext w:val="0"/>
              <w:keepLines w:val="0"/>
              <w:suppressLineNumbers w:val="0"/>
              <w:spacing w:before="0" w:beforeAutospacing="0" w:after="0" w:afterAutospacing="0"/>
              <w:ind w:left="0" w:right="0"/>
              <w:jc w:val="center"/>
              <w:rPr>
                <w:rFonts w:hint="default" w:ascii="微软雅黑"/>
                <w:sz w:val="10"/>
                <w:szCs w:val="10"/>
              </w:rPr>
            </w:pPr>
          </w:p>
        </w:tc>
        <w:tc>
          <w:tcPr>
            <w:tcW w:w="1127" w:type="dxa"/>
            <w:vAlign w:val="center"/>
          </w:tcPr>
          <w:p w14:paraId="31AC8489">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eastAsia" w:ascii="微软雅黑" w:hAnsi="微软雅黑" w:eastAsia="微软雅黑" w:cs="微软雅黑"/>
                <w:i/>
                <w:iCs/>
                <w:color w:val="000000"/>
                <w:kern w:val="0"/>
                <w:sz w:val="10"/>
                <w:szCs w:val="10"/>
                <w:u w:val="none"/>
                <w:lang w:val="en-US" w:eastAsia="zh-CN" w:bidi="ar"/>
              </w:rPr>
              <w:t>合规</w:t>
            </w:r>
          </w:p>
        </w:tc>
        <w:tc>
          <w:tcPr>
            <w:tcW w:w="521" w:type="dxa"/>
            <w:vAlign w:val="center"/>
          </w:tcPr>
          <w:p w14:paraId="1BF8CB7F">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10</w:t>
            </w:r>
          </w:p>
        </w:tc>
        <w:tc>
          <w:tcPr>
            <w:tcW w:w="471" w:type="dxa"/>
            <w:vAlign w:val="center"/>
          </w:tcPr>
          <w:p w14:paraId="43B3CB6E">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8</w:t>
            </w:r>
          </w:p>
        </w:tc>
        <w:tc>
          <w:tcPr>
            <w:tcW w:w="3598" w:type="dxa"/>
            <w:gridSpan w:val="2"/>
            <w:vAlign w:val="center"/>
          </w:tcPr>
          <w:p w14:paraId="4396E3C3">
            <w:pPr>
              <w:keepNext w:val="0"/>
              <w:keepLines w:val="0"/>
              <w:suppressLineNumbers w:val="0"/>
              <w:spacing w:before="0" w:beforeAutospacing="0" w:after="0" w:afterAutospacing="0"/>
              <w:ind w:left="0" w:right="0"/>
              <w:jc w:val="center"/>
              <w:rPr>
                <w:rFonts w:hint="default" w:ascii="Times New Roman"/>
                <w:sz w:val="10"/>
                <w:szCs w:val="10"/>
              </w:rPr>
            </w:pPr>
          </w:p>
        </w:tc>
      </w:tr>
      <w:tr w14:paraId="5D4036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49" w:type="dxa"/>
          <w:trHeight w:val="306" w:hRule="atLeast"/>
        </w:trPr>
        <w:tc>
          <w:tcPr>
            <w:tcW w:w="706" w:type="dxa"/>
            <w:gridSpan w:val="2"/>
            <w:vMerge w:val="continue"/>
            <w:tcBorders>
              <w:top w:val="nil"/>
            </w:tcBorders>
            <w:vAlign w:val="center"/>
          </w:tcPr>
          <w:p w14:paraId="4BF33940">
            <w:pPr>
              <w:keepNext w:val="0"/>
              <w:keepLines w:val="0"/>
              <w:suppressLineNumbers w:val="0"/>
              <w:spacing w:before="0" w:beforeAutospacing="0" w:after="0" w:afterAutospacing="0"/>
              <w:ind w:left="0" w:right="0"/>
              <w:jc w:val="center"/>
              <w:rPr>
                <w:rFonts w:hint="default"/>
                <w:sz w:val="10"/>
                <w:szCs w:val="10"/>
              </w:rPr>
            </w:pPr>
          </w:p>
        </w:tc>
        <w:tc>
          <w:tcPr>
            <w:tcW w:w="2120" w:type="dxa"/>
            <w:vMerge w:val="continue"/>
            <w:vAlign w:val="center"/>
          </w:tcPr>
          <w:p w14:paraId="2AD50E64">
            <w:pPr>
              <w:keepNext w:val="0"/>
              <w:keepLines w:val="0"/>
              <w:suppressLineNumbers w:val="0"/>
              <w:spacing w:before="0" w:beforeAutospacing="0" w:after="0" w:afterAutospacing="0"/>
              <w:ind w:left="0" w:right="0"/>
              <w:jc w:val="center"/>
              <w:rPr>
                <w:rFonts w:hint="default"/>
                <w:sz w:val="10"/>
                <w:szCs w:val="10"/>
              </w:rPr>
            </w:pPr>
          </w:p>
        </w:tc>
        <w:tc>
          <w:tcPr>
            <w:tcW w:w="1833" w:type="dxa"/>
            <w:vMerge w:val="continue"/>
            <w:vAlign w:val="center"/>
          </w:tcPr>
          <w:p w14:paraId="0674243F">
            <w:pPr>
              <w:keepNext w:val="0"/>
              <w:keepLines w:val="0"/>
              <w:suppressLineNumbers w:val="0"/>
              <w:spacing w:before="0" w:beforeAutospacing="0" w:after="0" w:afterAutospacing="0"/>
              <w:ind w:left="0" w:right="0"/>
              <w:jc w:val="center"/>
              <w:rPr>
                <w:rFonts w:hint="default"/>
                <w:sz w:val="10"/>
                <w:szCs w:val="10"/>
              </w:rPr>
            </w:pPr>
          </w:p>
        </w:tc>
        <w:tc>
          <w:tcPr>
            <w:tcW w:w="2339" w:type="dxa"/>
            <w:vAlign w:val="center"/>
          </w:tcPr>
          <w:p w14:paraId="3B56F526">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监督工作完成率</w:t>
            </w:r>
          </w:p>
        </w:tc>
        <w:tc>
          <w:tcPr>
            <w:tcW w:w="538" w:type="dxa"/>
            <w:vAlign w:val="center"/>
          </w:tcPr>
          <w:p w14:paraId="45FA99E2">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w:t>
            </w:r>
          </w:p>
        </w:tc>
        <w:tc>
          <w:tcPr>
            <w:tcW w:w="1733" w:type="dxa"/>
            <w:vAlign w:val="center"/>
          </w:tcPr>
          <w:p w14:paraId="1E16C2C7">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100</w:t>
            </w:r>
          </w:p>
        </w:tc>
        <w:tc>
          <w:tcPr>
            <w:tcW w:w="539" w:type="dxa"/>
            <w:vAlign w:val="center"/>
          </w:tcPr>
          <w:p w14:paraId="2F1CF348">
            <w:pPr>
              <w:keepNext w:val="0"/>
              <w:keepLines w:val="0"/>
              <w:widowControl/>
              <w:suppressLineNumbers w:val="0"/>
              <w:spacing w:before="0" w:beforeAutospacing="0" w:after="0" w:afterAutospacing="0"/>
              <w:ind w:left="0" w:right="0"/>
              <w:jc w:val="center"/>
              <w:textAlignment w:val="center"/>
              <w:rPr>
                <w:rFonts w:hint="default" w:ascii="微软雅黑"/>
                <w:sz w:val="10"/>
                <w:szCs w:val="10"/>
              </w:rPr>
            </w:pPr>
            <w:r>
              <w:rPr>
                <w:rFonts w:hint="default" w:ascii="宋体" w:hAnsi="宋体" w:eastAsia="宋体" w:cs="宋体"/>
                <w:i w:val="0"/>
                <w:iCs w:val="0"/>
                <w:color w:val="000000"/>
                <w:kern w:val="0"/>
                <w:sz w:val="10"/>
                <w:szCs w:val="10"/>
                <w:u w:val="none"/>
                <w:lang w:val="en-US" w:eastAsia="zh-CN" w:bidi="ar"/>
              </w:rPr>
              <w:t>%</w:t>
            </w:r>
          </w:p>
        </w:tc>
        <w:tc>
          <w:tcPr>
            <w:tcW w:w="1127" w:type="dxa"/>
            <w:vAlign w:val="center"/>
          </w:tcPr>
          <w:p w14:paraId="0646619C">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eastAsia" w:ascii="微软雅黑" w:hAnsi="微软雅黑" w:eastAsia="微软雅黑" w:cs="微软雅黑"/>
                <w:i/>
                <w:iCs/>
                <w:color w:val="000000"/>
                <w:kern w:val="0"/>
                <w:sz w:val="10"/>
                <w:szCs w:val="10"/>
                <w:u w:val="none"/>
                <w:lang w:val="en-US" w:eastAsia="zh-CN" w:bidi="ar"/>
              </w:rPr>
              <w:t>100</w:t>
            </w:r>
          </w:p>
        </w:tc>
        <w:tc>
          <w:tcPr>
            <w:tcW w:w="521" w:type="dxa"/>
            <w:vAlign w:val="center"/>
          </w:tcPr>
          <w:p w14:paraId="5437F835">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10</w:t>
            </w:r>
          </w:p>
        </w:tc>
        <w:tc>
          <w:tcPr>
            <w:tcW w:w="471" w:type="dxa"/>
            <w:vAlign w:val="center"/>
          </w:tcPr>
          <w:p w14:paraId="6D14E1B5">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10</w:t>
            </w:r>
          </w:p>
        </w:tc>
        <w:tc>
          <w:tcPr>
            <w:tcW w:w="3598" w:type="dxa"/>
            <w:gridSpan w:val="2"/>
            <w:vAlign w:val="center"/>
          </w:tcPr>
          <w:p w14:paraId="3766391D">
            <w:pPr>
              <w:keepNext w:val="0"/>
              <w:keepLines w:val="0"/>
              <w:suppressLineNumbers w:val="0"/>
              <w:spacing w:before="0" w:beforeAutospacing="0" w:after="0" w:afterAutospacing="0"/>
              <w:ind w:left="0" w:right="0"/>
              <w:jc w:val="center"/>
              <w:rPr>
                <w:rFonts w:hint="default" w:ascii="Times New Roman"/>
                <w:sz w:val="10"/>
                <w:szCs w:val="10"/>
              </w:rPr>
            </w:pPr>
          </w:p>
        </w:tc>
      </w:tr>
      <w:tr w14:paraId="54A993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49" w:type="dxa"/>
          <w:trHeight w:val="183" w:hRule="atLeast"/>
        </w:trPr>
        <w:tc>
          <w:tcPr>
            <w:tcW w:w="706" w:type="dxa"/>
            <w:gridSpan w:val="2"/>
            <w:vMerge w:val="continue"/>
            <w:vAlign w:val="center"/>
          </w:tcPr>
          <w:p w14:paraId="4AE53877">
            <w:pPr>
              <w:keepNext w:val="0"/>
              <w:keepLines w:val="0"/>
              <w:suppressLineNumbers w:val="0"/>
              <w:spacing w:before="0" w:beforeAutospacing="0" w:after="0" w:afterAutospacing="0"/>
              <w:ind w:left="0" w:right="0"/>
              <w:jc w:val="center"/>
              <w:rPr>
                <w:rFonts w:hint="default"/>
                <w:sz w:val="10"/>
                <w:szCs w:val="10"/>
              </w:rPr>
            </w:pPr>
          </w:p>
        </w:tc>
        <w:tc>
          <w:tcPr>
            <w:tcW w:w="2120" w:type="dxa"/>
            <w:vMerge w:val="continue"/>
            <w:vAlign w:val="center"/>
          </w:tcPr>
          <w:p w14:paraId="31E0C65C">
            <w:pPr>
              <w:keepNext w:val="0"/>
              <w:keepLines w:val="0"/>
              <w:suppressLineNumbers w:val="0"/>
              <w:spacing w:before="0" w:beforeAutospacing="0" w:after="0" w:afterAutospacing="0"/>
              <w:ind w:left="0" w:right="0"/>
              <w:jc w:val="center"/>
              <w:rPr>
                <w:rFonts w:hint="default"/>
                <w:sz w:val="10"/>
                <w:szCs w:val="10"/>
              </w:rPr>
            </w:pPr>
          </w:p>
        </w:tc>
        <w:tc>
          <w:tcPr>
            <w:tcW w:w="1833" w:type="dxa"/>
            <w:vAlign w:val="center"/>
          </w:tcPr>
          <w:p w14:paraId="78F5EA61">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时效指标</w:t>
            </w:r>
          </w:p>
        </w:tc>
        <w:tc>
          <w:tcPr>
            <w:tcW w:w="2339" w:type="dxa"/>
            <w:vAlign w:val="center"/>
          </w:tcPr>
          <w:p w14:paraId="3ABF756C">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监督工作完成时限</w:t>
            </w:r>
          </w:p>
        </w:tc>
        <w:tc>
          <w:tcPr>
            <w:tcW w:w="538" w:type="dxa"/>
            <w:vAlign w:val="center"/>
          </w:tcPr>
          <w:p w14:paraId="3D84DB94">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w:t>
            </w:r>
          </w:p>
        </w:tc>
        <w:tc>
          <w:tcPr>
            <w:tcW w:w="1733" w:type="dxa"/>
            <w:vAlign w:val="center"/>
          </w:tcPr>
          <w:p w14:paraId="50DD9454">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1</w:t>
            </w:r>
          </w:p>
        </w:tc>
        <w:tc>
          <w:tcPr>
            <w:tcW w:w="539" w:type="dxa"/>
            <w:vAlign w:val="center"/>
          </w:tcPr>
          <w:p w14:paraId="27DB43E3">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年</w:t>
            </w:r>
          </w:p>
        </w:tc>
        <w:tc>
          <w:tcPr>
            <w:tcW w:w="1127" w:type="dxa"/>
            <w:vAlign w:val="center"/>
          </w:tcPr>
          <w:p w14:paraId="5504FAE9">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eastAsia" w:ascii="微软雅黑" w:hAnsi="微软雅黑" w:eastAsia="微软雅黑" w:cs="微软雅黑"/>
                <w:i/>
                <w:iCs/>
                <w:color w:val="000000"/>
                <w:kern w:val="0"/>
                <w:sz w:val="10"/>
                <w:szCs w:val="10"/>
                <w:u w:val="none"/>
                <w:lang w:val="en-US" w:eastAsia="zh-CN" w:bidi="ar"/>
              </w:rPr>
              <w:t>1</w:t>
            </w:r>
          </w:p>
        </w:tc>
        <w:tc>
          <w:tcPr>
            <w:tcW w:w="521" w:type="dxa"/>
            <w:vAlign w:val="center"/>
          </w:tcPr>
          <w:p w14:paraId="1373AE62">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10</w:t>
            </w:r>
          </w:p>
        </w:tc>
        <w:tc>
          <w:tcPr>
            <w:tcW w:w="471" w:type="dxa"/>
            <w:vAlign w:val="center"/>
          </w:tcPr>
          <w:p w14:paraId="796F661D">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10</w:t>
            </w:r>
          </w:p>
        </w:tc>
        <w:tc>
          <w:tcPr>
            <w:tcW w:w="3598" w:type="dxa"/>
            <w:gridSpan w:val="2"/>
            <w:vAlign w:val="center"/>
          </w:tcPr>
          <w:p w14:paraId="0C74517E">
            <w:pPr>
              <w:keepNext w:val="0"/>
              <w:keepLines w:val="0"/>
              <w:suppressLineNumbers w:val="0"/>
              <w:spacing w:before="0" w:beforeAutospacing="0" w:after="0" w:afterAutospacing="0"/>
              <w:ind w:left="0" w:right="0"/>
              <w:jc w:val="center"/>
              <w:rPr>
                <w:rFonts w:hint="default" w:ascii="Times New Roman"/>
                <w:sz w:val="10"/>
                <w:szCs w:val="10"/>
              </w:rPr>
            </w:pPr>
          </w:p>
        </w:tc>
      </w:tr>
      <w:tr w14:paraId="4E12C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49" w:type="dxa"/>
          <w:trHeight w:val="272" w:hRule="atLeast"/>
        </w:trPr>
        <w:tc>
          <w:tcPr>
            <w:tcW w:w="706" w:type="dxa"/>
            <w:gridSpan w:val="2"/>
            <w:vMerge w:val="continue"/>
            <w:vAlign w:val="center"/>
          </w:tcPr>
          <w:p w14:paraId="7CC4BD36">
            <w:pPr>
              <w:keepNext w:val="0"/>
              <w:keepLines w:val="0"/>
              <w:suppressLineNumbers w:val="0"/>
              <w:spacing w:before="0" w:beforeAutospacing="0" w:after="0" w:afterAutospacing="0"/>
              <w:ind w:left="0" w:right="0"/>
              <w:jc w:val="center"/>
              <w:rPr>
                <w:rFonts w:hint="default"/>
                <w:sz w:val="10"/>
                <w:szCs w:val="10"/>
              </w:rPr>
            </w:pPr>
          </w:p>
        </w:tc>
        <w:tc>
          <w:tcPr>
            <w:tcW w:w="2120" w:type="dxa"/>
            <w:vAlign w:val="center"/>
          </w:tcPr>
          <w:p w14:paraId="770C88AE">
            <w:pPr>
              <w:keepNext w:val="0"/>
              <w:keepLines w:val="0"/>
              <w:widowControl/>
              <w:suppressLineNumbers w:val="0"/>
              <w:spacing w:before="0" w:beforeAutospacing="0" w:after="0" w:afterAutospacing="0"/>
              <w:ind w:left="0" w:right="0"/>
              <w:jc w:val="center"/>
              <w:textAlignment w:val="center"/>
              <w:rPr>
                <w:rFonts w:hint="eastAsia" w:ascii="微软雅黑" w:eastAsia="微软雅黑"/>
                <w:sz w:val="10"/>
                <w:szCs w:val="10"/>
              </w:rPr>
            </w:pPr>
            <w:r>
              <w:rPr>
                <w:rFonts w:hint="default" w:ascii="宋体" w:hAnsi="宋体" w:eastAsia="宋体" w:cs="宋体"/>
                <w:i w:val="0"/>
                <w:iCs w:val="0"/>
                <w:color w:val="000000"/>
                <w:kern w:val="0"/>
                <w:sz w:val="10"/>
                <w:szCs w:val="10"/>
                <w:u w:val="none"/>
                <w:lang w:val="en-US" w:eastAsia="zh-CN" w:bidi="ar"/>
              </w:rPr>
              <w:t>效益指标</w:t>
            </w:r>
          </w:p>
        </w:tc>
        <w:tc>
          <w:tcPr>
            <w:tcW w:w="1833" w:type="dxa"/>
            <w:vAlign w:val="center"/>
          </w:tcPr>
          <w:p w14:paraId="55A5C491">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社会效益指标</w:t>
            </w:r>
          </w:p>
        </w:tc>
        <w:tc>
          <w:tcPr>
            <w:tcW w:w="2339" w:type="dxa"/>
            <w:vAlign w:val="center"/>
          </w:tcPr>
          <w:p w14:paraId="4F2D684C">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监督影响率</w:t>
            </w:r>
          </w:p>
        </w:tc>
        <w:tc>
          <w:tcPr>
            <w:tcW w:w="538" w:type="dxa"/>
            <w:vAlign w:val="center"/>
          </w:tcPr>
          <w:p w14:paraId="45B9E881">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w:t>
            </w:r>
          </w:p>
        </w:tc>
        <w:tc>
          <w:tcPr>
            <w:tcW w:w="1733" w:type="dxa"/>
            <w:vAlign w:val="center"/>
          </w:tcPr>
          <w:p w14:paraId="25925D30">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97</w:t>
            </w:r>
          </w:p>
        </w:tc>
        <w:tc>
          <w:tcPr>
            <w:tcW w:w="539" w:type="dxa"/>
            <w:vAlign w:val="center"/>
          </w:tcPr>
          <w:p w14:paraId="3D71A5DE">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w:t>
            </w:r>
          </w:p>
        </w:tc>
        <w:tc>
          <w:tcPr>
            <w:tcW w:w="1127" w:type="dxa"/>
            <w:vAlign w:val="center"/>
          </w:tcPr>
          <w:p w14:paraId="4DCBB444">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eastAsia" w:ascii="微软雅黑" w:hAnsi="微软雅黑" w:eastAsia="微软雅黑" w:cs="微软雅黑"/>
                <w:i/>
                <w:iCs/>
                <w:color w:val="000000"/>
                <w:kern w:val="0"/>
                <w:sz w:val="10"/>
                <w:szCs w:val="10"/>
                <w:u w:val="none"/>
                <w:lang w:val="en-US" w:eastAsia="zh-CN" w:bidi="ar"/>
              </w:rPr>
              <w:t>95</w:t>
            </w:r>
          </w:p>
        </w:tc>
        <w:tc>
          <w:tcPr>
            <w:tcW w:w="521" w:type="dxa"/>
            <w:vAlign w:val="center"/>
          </w:tcPr>
          <w:p w14:paraId="2CA65AE5">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20</w:t>
            </w:r>
          </w:p>
        </w:tc>
        <w:tc>
          <w:tcPr>
            <w:tcW w:w="471" w:type="dxa"/>
            <w:vAlign w:val="center"/>
          </w:tcPr>
          <w:p w14:paraId="35D48470">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16</w:t>
            </w:r>
          </w:p>
        </w:tc>
        <w:tc>
          <w:tcPr>
            <w:tcW w:w="3598" w:type="dxa"/>
            <w:gridSpan w:val="2"/>
            <w:vAlign w:val="center"/>
          </w:tcPr>
          <w:p w14:paraId="24AAF80B">
            <w:pPr>
              <w:keepNext w:val="0"/>
              <w:keepLines w:val="0"/>
              <w:suppressLineNumbers w:val="0"/>
              <w:spacing w:before="0" w:beforeAutospacing="0" w:after="0" w:afterAutospacing="0"/>
              <w:ind w:left="0" w:right="0"/>
              <w:jc w:val="center"/>
              <w:rPr>
                <w:rFonts w:hint="default"/>
                <w:sz w:val="10"/>
                <w:szCs w:val="10"/>
              </w:rPr>
            </w:pPr>
          </w:p>
        </w:tc>
      </w:tr>
      <w:tr w14:paraId="42812E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49" w:type="dxa"/>
          <w:trHeight w:val="311" w:hRule="atLeast"/>
        </w:trPr>
        <w:tc>
          <w:tcPr>
            <w:tcW w:w="706" w:type="dxa"/>
            <w:gridSpan w:val="2"/>
            <w:vMerge w:val="continue"/>
            <w:vAlign w:val="center"/>
          </w:tcPr>
          <w:p w14:paraId="6588E2CA">
            <w:pPr>
              <w:keepNext w:val="0"/>
              <w:keepLines w:val="0"/>
              <w:suppressLineNumbers w:val="0"/>
              <w:spacing w:before="0" w:beforeAutospacing="0" w:after="0" w:afterAutospacing="0"/>
              <w:ind w:left="0" w:right="0"/>
              <w:jc w:val="center"/>
              <w:rPr>
                <w:rFonts w:hint="default"/>
                <w:sz w:val="10"/>
                <w:szCs w:val="10"/>
              </w:rPr>
            </w:pPr>
          </w:p>
        </w:tc>
        <w:tc>
          <w:tcPr>
            <w:tcW w:w="2120" w:type="dxa"/>
            <w:vAlign w:val="center"/>
          </w:tcPr>
          <w:p w14:paraId="46B2310C">
            <w:pPr>
              <w:keepNext w:val="0"/>
              <w:keepLines w:val="0"/>
              <w:widowControl/>
              <w:suppressLineNumbers w:val="0"/>
              <w:spacing w:before="0" w:beforeAutospacing="0" w:after="0" w:afterAutospacing="0"/>
              <w:ind w:left="0" w:right="0"/>
              <w:jc w:val="center"/>
              <w:textAlignment w:val="center"/>
              <w:rPr>
                <w:rFonts w:hint="eastAsia" w:ascii="微软雅黑" w:eastAsia="微软雅黑"/>
                <w:sz w:val="10"/>
                <w:szCs w:val="10"/>
              </w:rPr>
            </w:pPr>
            <w:r>
              <w:rPr>
                <w:rFonts w:hint="default" w:ascii="宋体" w:hAnsi="宋体" w:eastAsia="宋体" w:cs="宋体"/>
                <w:i w:val="0"/>
                <w:iCs w:val="0"/>
                <w:color w:val="000000"/>
                <w:kern w:val="0"/>
                <w:sz w:val="10"/>
                <w:szCs w:val="10"/>
                <w:u w:val="none"/>
                <w:lang w:val="en-US" w:eastAsia="zh-CN" w:bidi="ar"/>
              </w:rPr>
              <w:t>满意度指标</w:t>
            </w:r>
          </w:p>
        </w:tc>
        <w:tc>
          <w:tcPr>
            <w:tcW w:w="1833" w:type="dxa"/>
            <w:vAlign w:val="center"/>
          </w:tcPr>
          <w:p w14:paraId="2A1A1009">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服务对象满意度指标</w:t>
            </w:r>
          </w:p>
        </w:tc>
        <w:tc>
          <w:tcPr>
            <w:tcW w:w="2339" w:type="dxa"/>
            <w:vAlign w:val="center"/>
          </w:tcPr>
          <w:p w14:paraId="75DF8065">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监督对象满意度</w:t>
            </w:r>
          </w:p>
        </w:tc>
        <w:tc>
          <w:tcPr>
            <w:tcW w:w="538" w:type="dxa"/>
            <w:vAlign w:val="center"/>
          </w:tcPr>
          <w:p w14:paraId="5617A136">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w:t>
            </w:r>
          </w:p>
        </w:tc>
        <w:tc>
          <w:tcPr>
            <w:tcW w:w="1733" w:type="dxa"/>
            <w:vAlign w:val="center"/>
          </w:tcPr>
          <w:p w14:paraId="2DFAA8B8">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95</w:t>
            </w:r>
          </w:p>
        </w:tc>
        <w:tc>
          <w:tcPr>
            <w:tcW w:w="539" w:type="dxa"/>
            <w:vAlign w:val="center"/>
          </w:tcPr>
          <w:p w14:paraId="65DFED13">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w:t>
            </w:r>
          </w:p>
        </w:tc>
        <w:tc>
          <w:tcPr>
            <w:tcW w:w="1127" w:type="dxa"/>
            <w:vAlign w:val="center"/>
          </w:tcPr>
          <w:p w14:paraId="4ECCF469">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eastAsia" w:ascii="微软雅黑" w:hAnsi="微软雅黑" w:eastAsia="微软雅黑" w:cs="微软雅黑"/>
                <w:i/>
                <w:iCs/>
                <w:color w:val="000000"/>
                <w:kern w:val="0"/>
                <w:sz w:val="10"/>
                <w:szCs w:val="10"/>
                <w:u w:val="none"/>
                <w:lang w:val="en-US" w:eastAsia="zh-CN" w:bidi="ar"/>
              </w:rPr>
              <w:t>95</w:t>
            </w:r>
          </w:p>
        </w:tc>
        <w:tc>
          <w:tcPr>
            <w:tcW w:w="521" w:type="dxa"/>
            <w:vAlign w:val="center"/>
          </w:tcPr>
          <w:p w14:paraId="762E8150">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10</w:t>
            </w:r>
          </w:p>
        </w:tc>
        <w:tc>
          <w:tcPr>
            <w:tcW w:w="471" w:type="dxa"/>
            <w:vAlign w:val="center"/>
          </w:tcPr>
          <w:p w14:paraId="569DB1AD">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9</w:t>
            </w:r>
          </w:p>
        </w:tc>
        <w:tc>
          <w:tcPr>
            <w:tcW w:w="3598" w:type="dxa"/>
            <w:gridSpan w:val="2"/>
            <w:vAlign w:val="center"/>
          </w:tcPr>
          <w:p w14:paraId="1BC4772B">
            <w:pPr>
              <w:keepNext w:val="0"/>
              <w:keepLines w:val="0"/>
              <w:suppressLineNumbers w:val="0"/>
              <w:spacing w:before="0" w:beforeAutospacing="0" w:after="0" w:afterAutospacing="0"/>
              <w:ind w:left="0" w:right="0"/>
              <w:jc w:val="center"/>
              <w:rPr>
                <w:rFonts w:hint="default"/>
                <w:sz w:val="10"/>
                <w:szCs w:val="10"/>
              </w:rPr>
            </w:pPr>
          </w:p>
        </w:tc>
      </w:tr>
      <w:tr w14:paraId="7E055C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49" w:type="dxa"/>
          <w:trHeight w:val="388" w:hRule="atLeast"/>
        </w:trPr>
        <w:tc>
          <w:tcPr>
            <w:tcW w:w="706" w:type="dxa"/>
            <w:gridSpan w:val="2"/>
            <w:vMerge w:val="continue"/>
            <w:vAlign w:val="center"/>
          </w:tcPr>
          <w:p w14:paraId="1C66F272">
            <w:pPr>
              <w:keepNext w:val="0"/>
              <w:keepLines w:val="0"/>
              <w:suppressLineNumbers w:val="0"/>
              <w:spacing w:before="0" w:beforeAutospacing="0" w:after="0" w:afterAutospacing="0"/>
              <w:ind w:left="0" w:right="0"/>
              <w:jc w:val="center"/>
              <w:rPr>
                <w:rFonts w:hint="default"/>
                <w:sz w:val="10"/>
                <w:szCs w:val="10"/>
              </w:rPr>
            </w:pPr>
          </w:p>
        </w:tc>
        <w:tc>
          <w:tcPr>
            <w:tcW w:w="2120" w:type="dxa"/>
            <w:vMerge w:val="restart"/>
            <w:vAlign w:val="center"/>
          </w:tcPr>
          <w:p w14:paraId="657E51DE">
            <w:pPr>
              <w:keepNext w:val="0"/>
              <w:keepLines w:val="0"/>
              <w:widowControl/>
              <w:suppressLineNumbers w:val="0"/>
              <w:spacing w:before="0" w:beforeAutospacing="0" w:after="0" w:afterAutospacing="0"/>
              <w:ind w:left="0" w:right="0"/>
              <w:jc w:val="center"/>
              <w:textAlignment w:val="center"/>
              <w:rPr>
                <w:rFonts w:hint="eastAsia" w:ascii="微软雅黑" w:eastAsia="微软雅黑"/>
                <w:sz w:val="10"/>
                <w:szCs w:val="10"/>
              </w:rPr>
            </w:pPr>
            <w:r>
              <w:rPr>
                <w:rFonts w:hint="default" w:ascii="宋体" w:hAnsi="宋体" w:eastAsia="宋体" w:cs="宋体"/>
                <w:i w:val="0"/>
                <w:iCs w:val="0"/>
                <w:color w:val="000000"/>
                <w:kern w:val="0"/>
                <w:sz w:val="10"/>
                <w:szCs w:val="10"/>
                <w:u w:val="none"/>
                <w:lang w:val="en-US" w:eastAsia="zh-CN" w:bidi="ar"/>
              </w:rPr>
              <w:t>成本指标</w:t>
            </w:r>
          </w:p>
        </w:tc>
        <w:tc>
          <w:tcPr>
            <w:tcW w:w="1833" w:type="dxa"/>
            <w:vMerge w:val="restart"/>
            <w:vAlign w:val="center"/>
          </w:tcPr>
          <w:p w14:paraId="0AD499C3">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经济成本指标</w:t>
            </w:r>
          </w:p>
        </w:tc>
        <w:tc>
          <w:tcPr>
            <w:tcW w:w="2339" w:type="dxa"/>
            <w:vAlign w:val="center"/>
          </w:tcPr>
          <w:p w14:paraId="667DDC34">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监督工作成本</w:t>
            </w:r>
          </w:p>
        </w:tc>
        <w:tc>
          <w:tcPr>
            <w:tcW w:w="538" w:type="dxa"/>
            <w:vAlign w:val="center"/>
          </w:tcPr>
          <w:p w14:paraId="5AF83D8A">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w:t>
            </w:r>
          </w:p>
        </w:tc>
        <w:tc>
          <w:tcPr>
            <w:tcW w:w="1733" w:type="dxa"/>
            <w:vAlign w:val="center"/>
          </w:tcPr>
          <w:p w14:paraId="1D02E11F">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30</w:t>
            </w:r>
          </w:p>
        </w:tc>
        <w:tc>
          <w:tcPr>
            <w:tcW w:w="539" w:type="dxa"/>
            <w:vAlign w:val="center"/>
          </w:tcPr>
          <w:p w14:paraId="37D5B04D">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万元</w:t>
            </w:r>
          </w:p>
        </w:tc>
        <w:tc>
          <w:tcPr>
            <w:tcW w:w="1127" w:type="dxa"/>
            <w:vAlign w:val="center"/>
          </w:tcPr>
          <w:p w14:paraId="3CD7A1D0">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eastAsia" w:ascii="微软雅黑" w:hAnsi="微软雅黑" w:eastAsia="微软雅黑" w:cs="微软雅黑"/>
                <w:i/>
                <w:iCs/>
                <w:color w:val="000000"/>
                <w:kern w:val="0"/>
                <w:sz w:val="10"/>
                <w:szCs w:val="10"/>
                <w:u w:val="none"/>
                <w:lang w:val="en-US" w:eastAsia="zh-CN" w:bidi="ar"/>
              </w:rPr>
              <w:t>30</w:t>
            </w:r>
          </w:p>
        </w:tc>
        <w:tc>
          <w:tcPr>
            <w:tcW w:w="521" w:type="dxa"/>
            <w:vAlign w:val="center"/>
          </w:tcPr>
          <w:p w14:paraId="03261358">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10</w:t>
            </w:r>
          </w:p>
        </w:tc>
        <w:tc>
          <w:tcPr>
            <w:tcW w:w="471" w:type="dxa"/>
            <w:vAlign w:val="center"/>
          </w:tcPr>
          <w:p w14:paraId="71292ADC">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10</w:t>
            </w:r>
          </w:p>
        </w:tc>
        <w:tc>
          <w:tcPr>
            <w:tcW w:w="3598" w:type="dxa"/>
            <w:gridSpan w:val="2"/>
            <w:vAlign w:val="center"/>
          </w:tcPr>
          <w:p w14:paraId="36003DFD">
            <w:pPr>
              <w:keepNext w:val="0"/>
              <w:keepLines w:val="0"/>
              <w:suppressLineNumbers w:val="0"/>
              <w:spacing w:before="0" w:beforeAutospacing="0" w:after="0" w:afterAutospacing="0"/>
              <w:ind w:left="0" w:right="0"/>
              <w:jc w:val="center"/>
              <w:rPr>
                <w:rFonts w:hint="default"/>
                <w:sz w:val="10"/>
                <w:szCs w:val="10"/>
              </w:rPr>
            </w:pPr>
          </w:p>
        </w:tc>
      </w:tr>
      <w:tr w14:paraId="6BE28F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49" w:type="dxa"/>
          <w:trHeight w:val="428" w:hRule="atLeast"/>
        </w:trPr>
        <w:tc>
          <w:tcPr>
            <w:tcW w:w="706" w:type="dxa"/>
            <w:gridSpan w:val="2"/>
            <w:vMerge w:val="continue"/>
            <w:vAlign w:val="center"/>
          </w:tcPr>
          <w:p w14:paraId="05D19BE1">
            <w:pPr>
              <w:keepNext w:val="0"/>
              <w:keepLines w:val="0"/>
              <w:suppressLineNumbers w:val="0"/>
              <w:spacing w:before="0" w:beforeAutospacing="0" w:after="0" w:afterAutospacing="0"/>
              <w:ind w:left="0" w:right="0"/>
              <w:jc w:val="center"/>
              <w:rPr>
                <w:rFonts w:hint="eastAsia" w:ascii="黑体" w:eastAsia="黑体"/>
                <w:sz w:val="10"/>
                <w:szCs w:val="10"/>
              </w:rPr>
            </w:pPr>
          </w:p>
        </w:tc>
        <w:tc>
          <w:tcPr>
            <w:tcW w:w="2120" w:type="dxa"/>
            <w:vMerge w:val="continue"/>
            <w:vAlign w:val="center"/>
          </w:tcPr>
          <w:p w14:paraId="042D87D5">
            <w:pPr>
              <w:keepNext w:val="0"/>
              <w:keepLines w:val="0"/>
              <w:suppressLineNumbers w:val="0"/>
              <w:spacing w:before="0" w:beforeAutospacing="0" w:after="0" w:afterAutospacing="0"/>
              <w:ind w:left="0" w:right="0"/>
              <w:jc w:val="center"/>
              <w:rPr>
                <w:rFonts w:hint="default"/>
                <w:sz w:val="10"/>
                <w:szCs w:val="10"/>
              </w:rPr>
            </w:pPr>
          </w:p>
        </w:tc>
        <w:tc>
          <w:tcPr>
            <w:tcW w:w="1833" w:type="dxa"/>
            <w:vMerge w:val="continue"/>
            <w:vAlign w:val="center"/>
          </w:tcPr>
          <w:p w14:paraId="03C81637">
            <w:pPr>
              <w:keepNext w:val="0"/>
              <w:keepLines w:val="0"/>
              <w:suppressLineNumbers w:val="0"/>
              <w:spacing w:before="0" w:beforeAutospacing="0" w:after="0" w:afterAutospacing="0"/>
              <w:ind w:left="0" w:right="0"/>
              <w:jc w:val="center"/>
              <w:rPr>
                <w:rFonts w:hint="default"/>
                <w:sz w:val="10"/>
                <w:szCs w:val="10"/>
              </w:rPr>
            </w:pPr>
          </w:p>
        </w:tc>
        <w:tc>
          <w:tcPr>
            <w:tcW w:w="2339" w:type="dxa"/>
            <w:vAlign w:val="center"/>
          </w:tcPr>
          <w:p w14:paraId="3B2401B1">
            <w:pPr>
              <w:keepNext w:val="0"/>
              <w:keepLines w:val="0"/>
              <w:widowControl/>
              <w:suppressLineNumbers w:val="0"/>
              <w:spacing w:before="0" w:beforeAutospacing="0" w:after="0" w:afterAutospacing="0"/>
              <w:ind w:left="0" w:right="0"/>
              <w:jc w:val="center"/>
              <w:textAlignment w:val="center"/>
              <w:rPr>
                <w:rFonts w:hint="eastAsia" w:ascii="黑体" w:eastAsia="黑体"/>
                <w:sz w:val="10"/>
                <w:szCs w:val="10"/>
              </w:rPr>
            </w:pPr>
            <w:r>
              <w:rPr>
                <w:rFonts w:hint="default" w:ascii="宋体" w:hAnsi="宋体" w:eastAsia="宋体" w:cs="宋体"/>
                <w:i w:val="0"/>
                <w:iCs w:val="0"/>
                <w:color w:val="000000"/>
                <w:kern w:val="0"/>
                <w:sz w:val="10"/>
                <w:szCs w:val="10"/>
                <w:u w:val="none"/>
                <w:lang w:val="en-US" w:eastAsia="zh-CN" w:bidi="ar"/>
              </w:rPr>
              <w:t>监督工作总成本</w:t>
            </w:r>
          </w:p>
        </w:tc>
        <w:tc>
          <w:tcPr>
            <w:tcW w:w="538" w:type="dxa"/>
            <w:vAlign w:val="center"/>
          </w:tcPr>
          <w:p w14:paraId="74BE4272">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w:t>
            </w:r>
          </w:p>
        </w:tc>
        <w:tc>
          <w:tcPr>
            <w:tcW w:w="1733" w:type="dxa"/>
            <w:vAlign w:val="center"/>
          </w:tcPr>
          <w:p w14:paraId="75D73068">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30</w:t>
            </w:r>
          </w:p>
        </w:tc>
        <w:tc>
          <w:tcPr>
            <w:tcW w:w="539" w:type="dxa"/>
            <w:vAlign w:val="center"/>
          </w:tcPr>
          <w:p w14:paraId="36B0CCC2">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万</w:t>
            </w:r>
          </w:p>
        </w:tc>
        <w:tc>
          <w:tcPr>
            <w:tcW w:w="1127" w:type="dxa"/>
            <w:vAlign w:val="center"/>
          </w:tcPr>
          <w:p w14:paraId="276CA65D">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eastAsia" w:ascii="微软雅黑" w:hAnsi="微软雅黑" w:eastAsia="微软雅黑" w:cs="微软雅黑"/>
                <w:i/>
                <w:iCs/>
                <w:color w:val="000000"/>
                <w:kern w:val="0"/>
                <w:sz w:val="10"/>
                <w:szCs w:val="10"/>
                <w:u w:val="none"/>
                <w:lang w:val="en-US" w:eastAsia="zh-CN" w:bidi="ar"/>
              </w:rPr>
              <w:t>30</w:t>
            </w:r>
          </w:p>
        </w:tc>
        <w:tc>
          <w:tcPr>
            <w:tcW w:w="521" w:type="dxa"/>
            <w:vAlign w:val="center"/>
          </w:tcPr>
          <w:p w14:paraId="2C8FADEB">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10</w:t>
            </w:r>
          </w:p>
        </w:tc>
        <w:tc>
          <w:tcPr>
            <w:tcW w:w="471" w:type="dxa"/>
            <w:vAlign w:val="center"/>
          </w:tcPr>
          <w:p w14:paraId="25E55602">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default" w:ascii="宋体" w:hAnsi="宋体" w:eastAsia="宋体" w:cs="宋体"/>
                <w:i w:val="0"/>
                <w:iCs w:val="0"/>
                <w:color w:val="000000"/>
                <w:kern w:val="0"/>
                <w:sz w:val="10"/>
                <w:szCs w:val="10"/>
                <w:u w:val="none"/>
                <w:lang w:val="en-US" w:eastAsia="zh-CN" w:bidi="ar"/>
              </w:rPr>
              <w:t>10</w:t>
            </w:r>
          </w:p>
        </w:tc>
        <w:tc>
          <w:tcPr>
            <w:tcW w:w="3598" w:type="dxa"/>
            <w:gridSpan w:val="2"/>
            <w:vAlign w:val="center"/>
          </w:tcPr>
          <w:p w14:paraId="0F7AE469">
            <w:pPr>
              <w:keepNext w:val="0"/>
              <w:keepLines w:val="0"/>
              <w:suppressLineNumbers w:val="0"/>
              <w:spacing w:before="0" w:beforeAutospacing="0" w:after="0" w:afterAutospacing="0"/>
              <w:ind w:left="0" w:right="0"/>
              <w:jc w:val="center"/>
              <w:rPr>
                <w:rFonts w:hint="default"/>
                <w:sz w:val="10"/>
                <w:szCs w:val="10"/>
              </w:rPr>
            </w:pPr>
          </w:p>
        </w:tc>
      </w:tr>
      <w:tr w14:paraId="63497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 w:type="dxa"/>
          <w:trHeight w:val="603" w:hRule="atLeast"/>
        </w:trPr>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C39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评价结论</w:t>
            </w:r>
          </w:p>
        </w:tc>
        <w:tc>
          <w:tcPr>
            <w:tcW w:w="149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38FF7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0"/>
                <w:szCs w:val="10"/>
                <w:u w:val="none"/>
              </w:rPr>
            </w:pPr>
            <w:r>
              <w:rPr>
                <w:rFonts w:hint="eastAsia" w:ascii="微软雅黑" w:hAnsi="微软雅黑" w:eastAsia="微软雅黑" w:cs="微软雅黑"/>
                <w:i w:val="0"/>
                <w:iCs w:val="0"/>
                <w:color w:val="000000"/>
                <w:kern w:val="0"/>
                <w:sz w:val="10"/>
                <w:szCs w:val="10"/>
                <w:u w:val="none"/>
                <w:lang w:val="en-US" w:eastAsia="zh-CN" w:bidi="ar"/>
              </w:rPr>
              <w:t>严格执行相关政策，保障经费及时到位，项目完成较好，运行保障有力，资金严格实行专款专用，支付依据合规合法，与预算相符。</w:t>
            </w:r>
          </w:p>
        </w:tc>
      </w:tr>
      <w:tr w14:paraId="18DBD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 w:type="dxa"/>
          <w:trHeight w:val="572" w:hRule="atLeast"/>
        </w:trPr>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0B8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存在问题</w:t>
            </w:r>
          </w:p>
        </w:tc>
        <w:tc>
          <w:tcPr>
            <w:tcW w:w="149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556DD1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0"/>
                <w:szCs w:val="10"/>
                <w:u w:val="none"/>
              </w:rPr>
            </w:pPr>
            <w:r>
              <w:rPr>
                <w:rFonts w:hint="eastAsia" w:ascii="微软雅黑" w:hAnsi="微软雅黑" w:eastAsia="微软雅黑" w:cs="微软雅黑"/>
                <w:i w:val="0"/>
                <w:iCs w:val="0"/>
                <w:color w:val="000000"/>
                <w:kern w:val="0"/>
                <w:sz w:val="10"/>
                <w:szCs w:val="10"/>
                <w:u w:val="none"/>
                <w:lang w:val="en-US" w:eastAsia="zh-CN" w:bidi="ar"/>
              </w:rPr>
              <w:t>绩效目标精细化水平有待提高，项目产出和效果目标明确，但绩效目标量化程度不足，未能完全准确体现与预算的匹配性。</w:t>
            </w:r>
          </w:p>
        </w:tc>
      </w:tr>
      <w:tr w14:paraId="4F812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 w:type="dxa"/>
          <w:trHeight w:val="633" w:hRule="atLeast"/>
        </w:trPr>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90D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改进措施</w:t>
            </w:r>
          </w:p>
        </w:tc>
        <w:tc>
          <w:tcPr>
            <w:tcW w:w="149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908132">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0"/>
                <w:szCs w:val="10"/>
                <w:u w:val="none"/>
              </w:rPr>
            </w:pPr>
            <w:r>
              <w:rPr>
                <w:rFonts w:hint="eastAsia" w:ascii="微软雅黑" w:hAnsi="微软雅黑" w:eastAsia="微软雅黑" w:cs="微软雅黑"/>
                <w:i w:val="0"/>
                <w:iCs w:val="0"/>
                <w:color w:val="000000"/>
                <w:kern w:val="0"/>
                <w:sz w:val="10"/>
                <w:szCs w:val="10"/>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65226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 w:type="dxa"/>
          <w:trHeight w:val="286" w:hRule="atLeast"/>
        </w:trPr>
        <w:tc>
          <w:tcPr>
            <w:tcW w:w="71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4380A4">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0"/>
                <w:szCs w:val="10"/>
                <w:u w:val="none"/>
              </w:rPr>
            </w:pPr>
            <w:r>
              <w:rPr>
                <w:rFonts w:hint="eastAsia" w:ascii="黑体" w:hAnsi="黑体" w:eastAsia="黑体" w:cs="黑体"/>
                <w:i w:val="0"/>
                <w:iCs w:val="0"/>
                <w:color w:val="000000"/>
                <w:kern w:val="0"/>
                <w:sz w:val="10"/>
                <w:szCs w:val="10"/>
                <w:u w:val="none"/>
                <w:lang w:val="en-US" w:eastAsia="zh-CN" w:bidi="ar"/>
              </w:rPr>
              <w:t>项目负责人：</w:t>
            </w:r>
          </w:p>
        </w:tc>
        <w:tc>
          <w:tcPr>
            <w:tcW w:w="84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540758">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0"/>
                <w:szCs w:val="10"/>
                <w:u w:val="none"/>
              </w:rPr>
            </w:pPr>
            <w:r>
              <w:rPr>
                <w:rFonts w:hint="eastAsia" w:ascii="黑体" w:hAnsi="黑体" w:eastAsia="黑体" w:cs="黑体"/>
                <w:i w:val="0"/>
                <w:iCs w:val="0"/>
                <w:color w:val="000000"/>
                <w:kern w:val="0"/>
                <w:sz w:val="10"/>
                <w:szCs w:val="10"/>
                <w:u w:val="none"/>
                <w:lang w:val="en-US" w:eastAsia="zh-CN" w:bidi="ar"/>
              </w:rPr>
              <w:t>财务负责人：</w:t>
            </w:r>
          </w:p>
        </w:tc>
      </w:tr>
    </w:tbl>
    <w:p w14:paraId="2FB45084">
      <w:pPr>
        <w:rPr>
          <w:rFonts w:hint="eastAsia"/>
          <w:sz w:val="10"/>
          <w:szCs w:val="10"/>
          <w:lang w:val="en-US" w:eastAsia="zh-CN"/>
        </w:rPr>
        <w:sectPr>
          <w:pgSz w:w="16838" w:h="11906" w:orient="landscape"/>
          <w:pgMar w:top="567" w:right="567" w:bottom="567" w:left="567" w:header="720" w:footer="720" w:gutter="0"/>
          <w:pgNumType w:fmt="decimal"/>
          <w:cols w:space="0" w:num="1"/>
          <w:rtlGutter w:val="0"/>
          <w:docGrid w:type="lines" w:linePitch="312" w:charSpace="0"/>
        </w:sectPr>
      </w:pPr>
    </w:p>
    <w:tbl>
      <w:tblPr>
        <w:tblStyle w:val="15"/>
        <w:tblW w:w="156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0"/>
        <w:gridCol w:w="1994"/>
        <w:gridCol w:w="1735"/>
        <w:gridCol w:w="2222"/>
        <w:gridCol w:w="516"/>
        <w:gridCol w:w="1637"/>
        <w:gridCol w:w="756"/>
        <w:gridCol w:w="1081"/>
        <w:gridCol w:w="504"/>
        <w:gridCol w:w="486"/>
        <w:gridCol w:w="4022"/>
      </w:tblGrid>
      <w:tr w14:paraId="1184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156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BA24E7">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5AAF5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1AE8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项目名称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1BE4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51320021T000000049190-州人代会经费</w:t>
            </w:r>
          </w:p>
        </w:tc>
      </w:tr>
      <w:tr w14:paraId="28AB6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CFCE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主管部门</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10D9E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州人大办公室部门</w:t>
            </w:r>
          </w:p>
        </w:tc>
        <w:tc>
          <w:tcPr>
            <w:tcW w:w="1081" w:type="dxa"/>
            <w:tcBorders>
              <w:top w:val="nil"/>
              <w:left w:val="nil"/>
              <w:bottom w:val="nil"/>
              <w:right w:val="nil"/>
            </w:tcBorders>
            <w:shd w:val="clear" w:color="auto" w:fill="auto"/>
            <w:vAlign w:val="center"/>
          </w:tcPr>
          <w:p w14:paraId="4B9AEA66">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0"/>
                <w:szCs w:val="10"/>
                <w:u w:val="none"/>
              </w:rPr>
            </w:pPr>
            <w:r>
              <w:rPr>
                <w:rFonts w:hint="eastAsia" w:ascii="黑体" w:hAnsi="黑体" w:eastAsia="黑体" w:cs="黑体"/>
                <w:i w:val="0"/>
                <w:iCs w:val="0"/>
                <w:color w:val="000000"/>
                <w:kern w:val="0"/>
                <w:sz w:val="10"/>
                <w:szCs w:val="10"/>
                <w:u w:val="none"/>
                <w:lang w:val="en-US" w:eastAsia="zh-CN" w:bidi="ar"/>
              </w:rPr>
              <w:t>实施单位 （盖章）</w:t>
            </w:r>
          </w:p>
        </w:tc>
        <w:tc>
          <w:tcPr>
            <w:tcW w:w="5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EF03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州人大办公室</w:t>
            </w:r>
          </w:p>
        </w:tc>
      </w:tr>
      <w:tr w14:paraId="37B9B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DC3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项目基本情况</w:t>
            </w: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CEBD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1.项目年度目标完成情况</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5CE3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项目年度目标</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A05442">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0"/>
                <w:szCs w:val="10"/>
                <w:u w:val="none"/>
              </w:rPr>
            </w:pPr>
            <w:r>
              <w:rPr>
                <w:rFonts w:hint="eastAsia" w:ascii="黑体" w:hAnsi="黑体" w:eastAsia="黑体" w:cs="黑体"/>
                <w:i w:val="0"/>
                <w:iCs w:val="0"/>
                <w:color w:val="000000"/>
                <w:kern w:val="0"/>
                <w:sz w:val="10"/>
                <w:szCs w:val="10"/>
                <w:u w:val="none"/>
                <w:lang w:val="en-US" w:eastAsia="zh-CN" w:bidi="ar"/>
              </w:rPr>
              <w:t>年度目标完成情况</w:t>
            </w:r>
          </w:p>
        </w:tc>
      </w:tr>
      <w:tr w14:paraId="04910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877C4">
            <w:pPr>
              <w:keepNext w:val="0"/>
              <w:keepLines w:val="0"/>
              <w:suppressLineNumbers w:val="0"/>
              <w:spacing w:before="0" w:beforeAutospacing="0" w:after="0" w:afterAutospacing="0"/>
              <w:ind w:left="0" w:right="0"/>
              <w:rPr>
                <w:rFonts w:hint="eastAsia" w:ascii="宋体" w:hAnsi="宋体" w:eastAsia="宋体" w:cs="宋体"/>
                <w:i w:val="0"/>
                <w:iCs w:val="0"/>
                <w:color w:val="000000"/>
                <w:sz w:val="10"/>
                <w:szCs w:val="10"/>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22DC4">
            <w:pPr>
              <w:keepNext w:val="0"/>
              <w:keepLines w:val="0"/>
              <w:suppressLineNumbers w:val="0"/>
              <w:spacing w:before="0" w:beforeAutospacing="0" w:after="0" w:afterAutospacing="0"/>
              <w:ind w:left="0" w:right="0"/>
              <w:rPr>
                <w:rFonts w:hint="eastAsia" w:ascii="宋体" w:hAnsi="宋体" w:eastAsia="宋体" w:cs="宋体"/>
                <w:i w:val="0"/>
                <w:iCs w:val="0"/>
                <w:color w:val="000000"/>
                <w:sz w:val="10"/>
                <w:szCs w:val="10"/>
                <w:u w:val="none"/>
              </w:rPr>
            </w:pP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4C3BF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　召开一年一度的全州人民代表大会，参会有319名全国、省代、州人大代表以及170名列席人员，会期7天，召开6-8次常委会日常会议，常委会组成人员及各专委会委员76人参会，会期18天</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01C50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0"/>
                <w:szCs w:val="10"/>
                <w:u w:val="none"/>
              </w:rPr>
            </w:pPr>
            <w:r>
              <w:rPr>
                <w:rFonts w:hint="eastAsia" w:ascii="黑体" w:hAnsi="黑体" w:eastAsia="黑体" w:cs="黑体"/>
                <w:i w:val="0"/>
                <w:iCs w:val="0"/>
                <w:color w:val="000000"/>
                <w:kern w:val="0"/>
                <w:sz w:val="10"/>
                <w:szCs w:val="10"/>
                <w:u w:val="none"/>
                <w:lang w:val="en-US" w:eastAsia="zh-CN" w:bidi="ar"/>
              </w:rPr>
              <w:t>完成州人代会1次、常委会9次，常委会组成人员暨各县人大主任学习会1次，会议预算合理安排了场地、资料、后勤等支出，保障了会议顺利召开，广泛听取代表对各方面工作的建议、批评和意见，努力将“全体人民”纳入民主过程，做细做实全过程人民民主人大实践。</w:t>
            </w:r>
          </w:p>
        </w:tc>
      </w:tr>
      <w:tr w14:paraId="45633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8B68C">
            <w:pPr>
              <w:keepNext w:val="0"/>
              <w:keepLines w:val="0"/>
              <w:suppressLineNumbers w:val="0"/>
              <w:spacing w:before="0" w:beforeAutospacing="0" w:after="0" w:afterAutospacing="0"/>
              <w:ind w:left="0" w:right="0"/>
              <w:rPr>
                <w:rFonts w:hint="eastAsia" w:ascii="宋体" w:hAnsi="宋体" w:eastAsia="宋体" w:cs="宋体"/>
                <w:i w:val="0"/>
                <w:iCs w:val="0"/>
                <w:color w:val="000000"/>
                <w:sz w:val="10"/>
                <w:szCs w:val="10"/>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CDD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2.项目实施内容及过程概述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71EB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完成州人代会1次、常委会9次，常委会组成人员暨各县人大主任学习会1次，会议预算合理安排了场地、资料、后勤等支出，保障了会议顺利召开，广泛听取代表对各方面工作的建议、批评和意见，努力将“全体人民”纳入民主过程，做细做实全过程人民民主人大实践。</w:t>
            </w:r>
          </w:p>
        </w:tc>
      </w:tr>
      <w:tr w14:paraId="554F8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392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预算执行情况（10分）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C1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年度预算数（万元）</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89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年初预算</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FD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调整后预算数</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6C43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63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2E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5A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C1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原因</w:t>
            </w:r>
          </w:p>
        </w:tc>
      </w:tr>
      <w:tr w14:paraId="7C588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BB6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1E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总额</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E2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180.56</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D5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134.96</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0DE1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134.96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F0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45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B6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7</w:t>
            </w:r>
          </w:p>
        </w:tc>
        <w:tc>
          <w:tcPr>
            <w:tcW w:w="4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2E547">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0"/>
                <w:szCs w:val="10"/>
                <w:u w:val="none"/>
              </w:rPr>
            </w:pPr>
            <w:r>
              <w:rPr>
                <w:rFonts w:hint="eastAsia" w:ascii="黑体" w:hAnsi="黑体" w:eastAsia="黑体" w:cs="黑体"/>
                <w:i/>
                <w:iCs/>
                <w:color w:val="000000"/>
                <w:kern w:val="0"/>
                <w:sz w:val="10"/>
                <w:szCs w:val="10"/>
                <w:u w:val="none"/>
                <w:lang w:val="en-US" w:eastAsia="zh-CN" w:bidi="ar"/>
              </w:rPr>
              <w:t>厉行节约，严格控制会议举办成本，压缩会期</w:t>
            </w:r>
          </w:p>
        </w:tc>
      </w:tr>
      <w:tr w14:paraId="401C3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6B1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84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其中：财政资金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5F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180.56</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37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134.96</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80ED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134.96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24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D7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9A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1DFF6">
            <w:pPr>
              <w:keepNext w:val="0"/>
              <w:keepLines w:val="0"/>
              <w:suppressLineNumbers w:val="0"/>
              <w:spacing w:before="0" w:beforeAutospacing="0" w:after="0" w:afterAutospacing="0"/>
              <w:ind w:left="0" w:right="0"/>
              <w:rPr>
                <w:rFonts w:hint="eastAsia" w:ascii="黑体" w:hAnsi="黑体" w:eastAsia="黑体" w:cs="黑体"/>
                <w:i/>
                <w:iCs/>
                <w:color w:val="000000"/>
                <w:sz w:val="10"/>
                <w:szCs w:val="10"/>
                <w:u w:val="none"/>
              </w:rPr>
            </w:pPr>
          </w:p>
        </w:tc>
      </w:tr>
      <w:tr w14:paraId="05868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F25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61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财政专户管理资金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0C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B8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9AD8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E6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6E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48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D452F">
            <w:pPr>
              <w:keepNext w:val="0"/>
              <w:keepLines w:val="0"/>
              <w:suppressLineNumbers w:val="0"/>
              <w:spacing w:before="0" w:beforeAutospacing="0" w:after="0" w:afterAutospacing="0"/>
              <w:ind w:left="0" w:right="0"/>
              <w:rPr>
                <w:rFonts w:hint="eastAsia" w:ascii="黑体" w:hAnsi="黑体" w:eastAsia="黑体" w:cs="黑体"/>
                <w:i/>
                <w:iCs/>
                <w:color w:val="000000"/>
                <w:sz w:val="10"/>
                <w:szCs w:val="10"/>
                <w:u w:val="none"/>
              </w:rPr>
            </w:pPr>
          </w:p>
        </w:tc>
      </w:tr>
      <w:tr w14:paraId="00525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D58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49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单位资金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F4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5B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1AB5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3C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5B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39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1BA55">
            <w:pPr>
              <w:keepNext w:val="0"/>
              <w:keepLines w:val="0"/>
              <w:suppressLineNumbers w:val="0"/>
              <w:spacing w:before="0" w:beforeAutospacing="0" w:after="0" w:afterAutospacing="0"/>
              <w:ind w:left="0" w:right="0"/>
              <w:rPr>
                <w:rFonts w:hint="eastAsia" w:ascii="黑体" w:hAnsi="黑体" w:eastAsia="黑体" w:cs="黑体"/>
                <w:i/>
                <w:iCs/>
                <w:color w:val="000000"/>
                <w:sz w:val="10"/>
                <w:szCs w:val="10"/>
                <w:u w:val="none"/>
              </w:rPr>
            </w:pPr>
          </w:p>
        </w:tc>
      </w:tr>
      <w:tr w14:paraId="55064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44E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60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其他资金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1DF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0"/>
                <w:szCs w:val="10"/>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4D1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0"/>
                <w:szCs w:val="10"/>
                <w:u w:val="none"/>
              </w:rPr>
            </w:pP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77A4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0"/>
                <w:szCs w:val="1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E82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0"/>
                <w:szCs w:val="10"/>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8A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DF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FB6F9">
            <w:pPr>
              <w:keepNext w:val="0"/>
              <w:keepLines w:val="0"/>
              <w:suppressLineNumbers w:val="0"/>
              <w:spacing w:before="0" w:beforeAutospacing="0" w:after="0" w:afterAutospacing="0"/>
              <w:ind w:left="0" w:right="0"/>
              <w:rPr>
                <w:rFonts w:hint="eastAsia" w:ascii="黑体" w:hAnsi="黑体" w:eastAsia="黑体" w:cs="黑体"/>
                <w:i/>
                <w:iCs/>
                <w:color w:val="000000"/>
                <w:sz w:val="10"/>
                <w:szCs w:val="10"/>
                <w:u w:val="none"/>
              </w:rPr>
            </w:pPr>
          </w:p>
        </w:tc>
      </w:tr>
      <w:tr w14:paraId="468AC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A45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绩效指标（90分）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DF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一级指标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8F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二级指标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E3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E2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指标性质</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54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0C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31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1F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98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FA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未完成原因分析</w:t>
            </w:r>
          </w:p>
        </w:tc>
      </w:tr>
      <w:tr w14:paraId="79192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BD1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129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产出指标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AA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数量指标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88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会议召开场次</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FF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AC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5F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场次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6A8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0"/>
                <w:szCs w:val="10"/>
                <w:u w:val="none"/>
              </w:rPr>
            </w:pPr>
            <w:r>
              <w:rPr>
                <w:rFonts w:hint="eastAsia" w:ascii="微软雅黑" w:hAnsi="微软雅黑" w:eastAsia="微软雅黑" w:cs="微软雅黑"/>
                <w:i/>
                <w:iCs/>
                <w:color w:val="000000"/>
                <w:kern w:val="0"/>
                <w:sz w:val="10"/>
                <w:szCs w:val="10"/>
                <w:u w:val="none"/>
                <w:lang w:val="en-US" w:eastAsia="zh-CN" w:bidi="ar"/>
              </w:rPr>
              <w:t>9</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70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4B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962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0"/>
                <w:szCs w:val="10"/>
                <w:u w:val="none"/>
              </w:rPr>
            </w:pPr>
          </w:p>
        </w:tc>
      </w:tr>
      <w:tr w14:paraId="529EC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493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D6F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ECC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质量指标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7D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会议召开完成度</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06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6A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BA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DF5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0"/>
                <w:szCs w:val="10"/>
                <w:u w:val="none"/>
              </w:rPr>
            </w:pPr>
            <w:r>
              <w:rPr>
                <w:rFonts w:hint="eastAsia" w:ascii="微软雅黑" w:hAnsi="微软雅黑" w:eastAsia="微软雅黑" w:cs="微软雅黑"/>
                <w:i/>
                <w:iCs/>
                <w:color w:val="000000"/>
                <w:kern w:val="0"/>
                <w:sz w:val="10"/>
                <w:szCs w:val="10"/>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73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90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871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0"/>
                <w:szCs w:val="10"/>
                <w:u w:val="none"/>
              </w:rPr>
            </w:pPr>
          </w:p>
        </w:tc>
      </w:tr>
      <w:tr w14:paraId="495B3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9A3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E2A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594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32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支出合规性</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5B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定性</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09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合规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B4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D8D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0"/>
                <w:szCs w:val="10"/>
                <w:u w:val="none"/>
              </w:rPr>
            </w:pPr>
            <w:r>
              <w:rPr>
                <w:rFonts w:hint="eastAsia" w:ascii="微软雅黑" w:hAnsi="微软雅黑" w:eastAsia="微软雅黑" w:cs="微软雅黑"/>
                <w:i/>
                <w:iCs/>
                <w:color w:val="000000"/>
                <w:kern w:val="0"/>
                <w:sz w:val="10"/>
                <w:szCs w:val="10"/>
                <w:u w:val="none"/>
                <w:lang w:val="en-US" w:eastAsia="zh-CN" w:bidi="ar"/>
              </w:rPr>
              <w:t>合规</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71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AF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8</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89C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0"/>
                <w:szCs w:val="10"/>
                <w:u w:val="none"/>
              </w:rPr>
            </w:pPr>
          </w:p>
        </w:tc>
      </w:tr>
      <w:tr w14:paraId="55F62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57E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64B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01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时效指标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42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会议召开完成时限</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F1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C2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0A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B23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0"/>
                <w:szCs w:val="10"/>
                <w:u w:val="none"/>
              </w:rPr>
            </w:pPr>
            <w:r>
              <w:rPr>
                <w:rFonts w:hint="eastAsia" w:ascii="微软雅黑" w:hAnsi="微软雅黑" w:eastAsia="微软雅黑" w:cs="微软雅黑"/>
                <w:i/>
                <w:iCs/>
                <w:color w:val="000000"/>
                <w:kern w:val="0"/>
                <w:sz w:val="10"/>
                <w:szCs w:val="10"/>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F8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79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F6F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0"/>
                <w:szCs w:val="10"/>
                <w:u w:val="none"/>
              </w:rPr>
            </w:pPr>
          </w:p>
        </w:tc>
      </w:tr>
      <w:tr w14:paraId="5CBE4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DF8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54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效益指标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6D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可持续影响指标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B7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会议服务保障</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23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定性</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79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持续保障</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7F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391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0"/>
                <w:szCs w:val="10"/>
                <w:u w:val="none"/>
              </w:rPr>
            </w:pPr>
            <w:r>
              <w:rPr>
                <w:rFonts w:hint="eastAsia" w:ascii="微软雅黑" w:hAnsi="微软雅黑" w:eastAsia="微软雅黑" w:cs="微软雅黑"/>
                <w:i/>
                <w:iCs/>
                <w:color w:val="000000"/>
                <w:kern w:val="0"/>
                <w:sz w:val="10"/>
                <w:szCs w:val="10"/>
                <w:u w:val="none"/>
                <w:lang w:val="en-US" w:eastAsia="zh-CN" w:bidi="ar"/>
              </w:rPr>
              <w:t>持续保障</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01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83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4B5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0"/>
                <w:szCs w:val="10"/>
                <w:u w:val="none"/>
              </w:rPr>
            </w:pPr>
          </w:p>
        </w:tc>
      </w:tr>
      <w:tr w14:paraId="38EF0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83B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83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满意度指标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E9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服务对象满意度指标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26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会议参会人员满意度</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98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0B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A3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57D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0"/>
                <w:szCs w:val="10"/>
                <w:u w:val="none"/>
              </w:rPr>
            </w:pPr>
            <w:r>
              <w:rPr>
                <w:rFonts w:hint="eastAsia" w:ascii="微软雅黑" w:hAnsi="微软雅黑" w:eastAsia="微软雅黑" w:cs="微软雅黑"/>
                <w:i/>
                <w:iCs/>
                <w:color w:val="000000"/>
                <w:kern w:val="0"/>
                <w:sz w:val="10"/>
                <w:szCs w:val="10"/>
                <w:u w:val="none"/>
                <w:lang w:val="en-US" w:eastAsia="zh-CN" w:bidi="ar"/>
              </w:rPr>
              <w:t>95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36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E3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18C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0"/>
                <w:szCs w:val="10"/>
                <w:u w:val="none"/>
              </w:rPr>
            </w:pPr>
          </w:p>
        </w:tc>
      </w:tr>
      <w:tr w14:paraId="45E50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0B6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71C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成本指标</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5F0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经济成本指标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24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会议召开总成本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9B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66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189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6D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CE4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0"/>
                <w:szCs w:val="10"/>
                <w:u w:val="none"/>
              </w:rPr>
            </w:pPr>
            <w:r>
              <w:rPr>
                <w:rFonts w:hint="eastAsia" w:ascii="微软雅黑" w:hAnsi="微软雅黑" w:eastAsia="微软雅黑" w:cs="微软雅黑"/>
                <w:i/>
                <w:iCs/>
                <w:color w:val="000000"/>
                <w:kern w:val="0"/>
                <w:sz w:val="10"/>
                <w:szCs w:val="10"/>
                <w:u w:val="none"/>
                <w:lang w:val="en-US" w:eastAsia="zh-CN" w:bidi="ar"/>
              </w:rPr>
              <w:t>134.96</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24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AA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7</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A28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0"/>
                <w:szCs w:val="10"/>
                <w:u w:val="none"/>
              </w:rPr>
            </w:pPr>
            <w:r>
              <w:rPr>
                <w:rFonts w:hint="eastAsia" w:ascii="微软雅黑" w:hAnsi="微软雅黑" w:eastAsia="微软雅黑" w:cs="微软雅黑"/>
                <w:i/>
                <w:iCs/>
                <w:color w:val="000000"/>
                <w:kern w:val="0"/>
                <w:sz w:val="10"/>
                <w:szCs w:val="10"/>
                <w:u w:val="none"/>
                <w:lang w:val="en-US" w:eastAsia="zh-CN" w:bidi="ar"/>
              </w:rPr>
              <w:t>厉行节约，压缩会期，严格控制会议举办成本</w:t>
            </w:r>
          </w:p>
        </w:tc>
      </w:tr>
      <w:tr w14:paraId="5BE6B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65D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1D2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5DE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76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会议召开成本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38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AA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8E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A60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0"/>
                <w:szCs w:val="10"/>
                <w:u w:val="none"/>
              </w:rPr>
            </w:pPr>
            <w:r>
              <w:rPr>
                <w:rFonts w:hint="eastAsia" w:ascii="微软雅黑" w:hAnsi="微软雅黑" w:eastAsia="微软雅黑" w:cs="微软雅黑"/>
                <w:i/>
                <w:iCs/>
                <w:color w:val="000000"/>
                <w:kern w:val="0"/>
                <w:sz w:val="10"/>
                <w:szCs w:val="10"/>
                <w:u w:val="none"/>
                <w:lang w:val="en-US" w:eastAsia="zh-CN" w:bidi="ar"/>
              </w:rPr>
              <w:t>134.96</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D2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CC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7</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ECC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0"/>
                <w:szCs w:val="10"/>
                <w:u w:val="none"/>
              </w:rPr>
            </w:pPr>
            <w:r>
              <w:rPr>
                <w:rFonts w:hint="eastAsia" w:ascii="微软雅黑" w:hAnsi="微软雅黑" w:eastAsia="微软雅黑" w:cs="微软雅黑"/>
                <w:i/>
                <w:iCs/>
                <w:color w:val="000000"/>
                <w:kern w:val="0"/>
                <w:sz w:val="10"/>
                <w:szCs w:val="10"/>
                <w:u w:val="none"/>
                <w:lang w:val="en-US" w:eastAsia="zh-CN" w:bidi="ar"/>
              </w:rPr>
              <w:t>厉行节约，压缩会期，严格控制会议举办成本</w:t>
            </w:r>
          </w:p>
        </w:tc>
      </w:tr>
      <w:tr w14:paraId="19240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6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FB98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EA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5AF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80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84E4">
            <w:pPr>
              <w:keepNext w:val="0"/>
              <w:keepLines w:val="0"/>
              <w:suppressLineNumbers w:val="0"/>
              <w:spacing w:before="0" w:beforeAutospacing="0" w:after="0" w:afterAutospacing="0"/>
              <w:ind w:left="0" w:right="0"/>
              <w:rPr>
                <w:rFonts w:hint="eastAsia" w:ascii="宋体" w:hAnsi="宋体" w:eastAsia="宋体" w:cs="宋体"/>
                <w:i w:val="0"/>
                <w:iCs w:val="0"/>
                <w:color w:val="000000"/>
                <w:sz w:val="10"/>
                <w:szCs w:val="10"/>
                <w:u w:val="none"/>
              </w:rPr>
            </w:pPr>
          </w:p>
        </w:tc>
      </w:tr>
      <w:tr w14:paraId="5E368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C4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评价结论</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29DC4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0"/>
                <w:szCs w:val="10"/>
                <w:u w:val="none"/>
              </w:rPr>
            </w:pPr>
            <w:r>
              <w:rPr>
                <w:rFonts w:hint="eastAsia" w:ascii="微软雅黑" w:hAnsi="微软雅黑" w:eastAsia="微软雅黑" w:cs="微软雅黑"/>
                <w:i w:val="0"/>
                <w:iCs w:val="0"/>
                <w:color w:val="000000"/>
                <w:kern w:val="0"/>
                <w:sz w:val="10"/>
                <w:szCs w:val="10"/>
                <w:u w:val="none"/>
                <w:lang w:val="en-US" w:eastAsia="zh-CN" w:bidi="ar"/>
              </w:rPr>
              <w:t>严格执行相关政策，保障经费及时到位，项目完成较好，运行保障有力，资金严格实行专款专用，支付依据合规合法，与预算相符。</w:t>
            </w:r>
          </w:p>
        </w:tc>
      </w:tr>
      <w:tr w14:paraId="72F98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A3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存在问题</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338FBB">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0"/>
                <w:szCs w:val="10"/>
                <w:u w:val="none"/>
              </w:rPr>
            </w:pPr>
            <w:r>
              <w:rPr>
                <w:rFonts w:hint="eastAsia" w:ascii="微软雅黑" w:hAnsi="微软雅黑" w:eastAsia="微软雅黑" w:cs="微软雅黑"/>
                <w:i w:val="0"/>
                <w:iCs w:val="0"/>
                <w:color w:val="000000"/>
                <w:kern w:val="0"/>
                <w:sz w:val="10"/>
                <w:szCs w:val="10"/>
                <w:u w:val="none"/>
                <w:lang w:val="en-US" w:eastAsia="zh-CN" w:bidi="ar"/>
              </w:rPr>
              <w:t>但预算精细化程度有待提高，部分会议资源存在浪费现象。</w:t>
            </w:r>
          </w:p>
        </w:tc>
      </w:tr>
      <w:tr w14:paraId="5CC69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B4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改进措施</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5D1F6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0"/>
                <w:szCs w:val="10"/>
                <w:u w:val="none"/>
              </w:rPr>
            </w:pPr>
            <w:r>
              <w:rPr>
                <w:rFonts w:hint="eastAsia" w:ascii="微软雅黑" w:hAnsi="微软雅黑" w:eastAsia="微软雅黑" w:cs="微软雅黑"/>
                <w:i w:val="0"/>
                <w:iCs w:val="0"/>
                <w:color w:val="000000"/>
                <w:kern w:val="0"/>
                <w:sz w:val="10"/>
                <w:szCs w:val="10"/>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51173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 w:hRule="atLeast"/>
        </w:trPr>
        <w:tc>
          <w:tcPr>
            <w:tcW w:w="7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FE8EF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0"/>
                <w:szCs w:val="10"/>
                <w:u w:val="none"/>
              </w:rPr>
            </w:pPr>
            <w:r>
              <w:rPr>
                <w:rFonts w:hint="eastAsia" w:ascii="黑体" w:hAnsi="黑体" w:eastAsia="黑体" w:cs="黑体"/>
                <w:i w:val="0"/>
                <w:iCs w:val="0"/>
                <w:color w:val="000000"/>
                <w:kern w:val="0"/>
                <w:sz w:val="10"/>
                <w:szCs w:val="10"/>
                <w:u w:val="none"/>
                <w:lang w:val="en-US" w:eastAsia="zh-CN" w:bidi="ar"/>
              </w:rPr>
              <w:t>项目负责人：</w:t>
            </w:r>
          </w:p>
        </w:tc>
        <w:tc>
          <w:tcPr>
            <w:tcW w:w="84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94191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0"/>
                <w:szCs w:val="10"/>
                <w:u w:val="none"/>
              </w:rPr>
            </w:pPr>
            <w:r>
              <w:rPr>
                <w:rFonts w:hint="eastAsia" w:ascii="黑体" w:hAnsi="黑体" w:eastAsia="黑体" w:cs="黑体"/>
                <w:i w:val="0"/>
                <w:iCs w:val="0"/>
                <w:color w:val="000000"/>
                <w:kern w:val="0"/>
                <w:sz w:val="10"/>
                <w:szCs w:val="10"/>
                <w:u w:val="none"/>
                <w:lang w:val="en-US" w:eastAsia="zh-CN" w:bidi="ar"/>
              </w:rPr>
              <w:t>财务负责人：</w:t>
            </w:r>
          </w:p>
        </w:tc>
      </w:tr>
      <w:tr w14:paraId="4F29C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4C1933E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nil"/>
              <w:left w:val="nil"/>
              <w:bottom w:val="nil"/>
              <w:right w:val="nil"/>
            </w:tcBorders>
            <w:shd w:val="clear" w:color="auto" w:fill="auto"/>
            <w:vAlign w:val="center"/>
          </w:tcPr>
          <w:p w14:paraId="76EFC18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5" w:type="dxa"/>
            <w:tcBorders>
              <w:top w:val="nil"/>
              <w:left w:val="nil"/>
              <w:bottom w:val="nil"/>
              <w:right w:val="nil"/>
            </w:tcBorders>
            <w:shd w:val="clear" w:color="auto" w:fill="auto"/>
            <w:vAlign w:val="center"/>
          </w:tcPr>
          <w:p w14:paraId="569DEC9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22" w:type="dxa"/>
            <w:tcBorders>
              <w:top w:val="nil"/>
              <w:left w:val="nil"/>
              <w:bottom w:val="nil"/>
              <w:right w:val="nil"/>
            </w:tcBorders>
            <w:shd w:val="clear" w:color="auto" w:fill="auto"/>
            <w:vAlign w:val="center"/>
          </w:tcPr>
          <w:p w14:paraId="66BE73D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3B40C05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shd w:val="clear" w:color="auto" w:fill="auto"/>
            <w:vAlign w:val="center"/>
          </w:tcPr>
          <w:p w14:paraId="7878476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3EA9B20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7CE00B6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694E97B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B64CEB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22" w:type="dxa"/>
            <w:tcBorders>
              <w:top w:val="nil"/>
              <w:left w:val="nil"/>
              <w:bottom w:val="nil"/>
              <w:right w:val="nil"/>
            </w:tcBorders>
            <w:shd w:val="clear" w:color="auto" w:fill="auto"/>
            <w:vAlign w:val="center"/>
          </w:tcPr>
          <w:p w14:paraId="69C4A0A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72B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56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F4F35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51AF6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6604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4845D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51320021T000000049224-州人大代表活动经费</w:t>
            </w:r>
          </w:p>
        </w:tc>
      </w:tr>
      <w:tr w14:paraId="5208F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8D86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A5004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1BE6AA3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5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DC0A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3320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5D4F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F4D0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6401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046FB5">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7F54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B038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881B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6B02A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　根据《代表法》规定和《州人大代表履职经费管理办法》，保障全州285名人大代表依法履职</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3EF65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w:t>
            </w:r>
            <w:r>
              <w:rPr>
                <w:rFonts w:hint="eastAsia" w:ascii="黑体" w:hAnsi="黑体" w:eastAsia="黑体" w:cs="黑体"/>
                <w:i w:val="0"/>
                <w:iCs w:val="0"/>
                <w:color w:val="000000"/>
                <w:kern w:val="0"/>
                <w:sz w:val="11"/>
                <w:szCs w:val="11"/>
                <w:u w:val="none"/>
                <w:lang w:val="en-US" w:eastAsia="zh-CN" w:bidi="ar"/>
              </w:rPr>
              <w:t>形成闭会期间代表建议1件、工作建议20条，均转州人民政府办理。密切代表与群众的联系，通过经常走访、定期接待等方式，收集群众意见建议7000余条，各级人大代表2.35万人次参加履职活动，走访接待群众超10万人次，走访帮助企业1089个，收集困难问题3156件，帮助协调解决2858件，提出代表建议1413条。，交办州人大代表建议76件，常委会班子成员领衔督办18件，为各级人大代表订阅学习资料7000余份，足额预算、划拨代表活动和履职经费，及时兑现代表履职补助、开展困难代表慰问。</w:t>
            </w:r>
          </w:p>
        </w:tc>
      </w:tr>
      <w:tr w14:paraId="220B7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6F45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98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CECFC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1"/>
                <w:szCs w:val="11"/>
                <w:u w:val="none"/>
                <w:lang w:val="en-US" w:eastAsia="zh-CN" w:bidi="ar"/>
              </w:rPr>
              <w:t>常态深入县（市）、乡（镇）人大和基层立法联系点了解情况、听取意见，指导“家站”建设，完善“家站”功能，全州188个代表之家、624个代表联络站规范运行，五级人大代表全部进“家”入“站”、依法履职。全州各级人大常委会组成人员联系代表、代表联系群众超4万人次，努力做到民有所呼、我有所应。各级人大代表2.35万人次参加履职活动，走访接待群众超10万人次，走访帮助企业1089个，收集困难问题3156件，帮助协调解决2858件，提出代表建议1413条。充分发挥代表专业小组“智囊团”作用，邀请专业代表小组成员参加执法检查、监督调研等活动。探索开展代表多级、跨区域联动调研视察活动，与雅安市联合开展大熊猫国家公园建设情况专题调研。足额预算、划拨代表活动和履职经费，及时兑现代表履职补助、开展困难代表慰问，尽心为代表工作生活排忧解难。</w:t>
            </w:r>
          </w:p>
        </w:tc>
      </w:tr>
      <w:tr w14:paraId="7A7D8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C7E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65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70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AC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5674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A3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2F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A7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16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37B10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880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39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63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117.36</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78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110.65</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0E4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110.65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F8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C8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CC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9880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预算执行率为100%.</w:t>
            </w:r>
          </w:p>
        </w:tc>
      </w:tr>
      <w:tr w14:paraId="4659E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871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82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5E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117.36</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3C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110.65</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4B8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110.65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B2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B9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36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2E378">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F645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D62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58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A3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F5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0B60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3A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99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AE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53098">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D000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3E7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4A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DF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14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AA45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F4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1B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F1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1998D">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042D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5BB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4C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103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061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30CC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AF1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93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66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18D70">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B4FA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71C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9D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0C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44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29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B9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F0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F3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C1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E4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63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65556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D0C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A09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54B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F5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经费保障代表人数</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B9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51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285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91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537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285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6D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FD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D00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2EB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D8D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666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23E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24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经费保障县数</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94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20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AD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030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13</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F6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01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DBA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39D5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1FA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51B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F2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3A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保障人大代表履职率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D8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34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D9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F1A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AC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D8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1E5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0D7F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95C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C67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96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B4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人大代表活动开展完成时限</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8F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09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CD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49E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D9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FD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278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33F0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9A5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1A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77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83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人大代表受益度</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9A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C4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A9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023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32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B6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A68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F781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096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58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7E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02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人大代表的满意度</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4F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B0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70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8FF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6C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76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D7D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3385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FA5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A0B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F7D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32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项目总成本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9A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BD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46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F0A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110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70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46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273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2D46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DBC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B4D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D37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48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59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0E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72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214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110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C6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AF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14B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A50F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6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7478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37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EDA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82</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6B4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5CE1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33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7D090F">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0CDCB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FA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549BBE">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4C474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45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47E593">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1AF94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1A58E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4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390227">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A6BB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0B728AD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nil"/>
              <w:left w:val="nil"/>
              <w:bottom w:val="nil"/>
              <w:right w:val="nil"/>
            </w:tcBorders>
            <w:shd w:val="clear" w:color="auto" w:fill="auto"/>
            <w:vAlign w:val="center"/>
          </w:tcPr>
          <w:p w14:paraId="7FC6C47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5" w:type="dxa"/>
            <w:tcBorders>
              <w:top w:val="nil"/>
              <w:left w:val="nil"/>
              <w:bottom w:val="nil"/>
              <w:right w:val="nil"/>
            </w:tcBorders>
            <w:shd w:val="clear" w:color="auto" w:fill="auto"/>
            <w:vAlign w:val="center"/>
          </w:tcPr>
          <w:p w14:paraId="4573706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22" w:type="dxa"/>
            <w:tcBorders>
              <w:top w:val="nil"/>
              <w:left w:val="nil"/>
              <w:bottom w:val="nil"/>
              <w:right w:val="nil"/>
            </w:tcBorders>
            <w:shd w:val="clear" w:color="auto" w:fill="auto"/>
            <w:vAlign w:val="center"/>
          </w:tcPr>
          <w:p w14:paraId="04FB794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10730D7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shd w:val="clear" w:color="auto" w:fill="auto"/>
            <w:vAlign w:val="center"/>
          </w:tcPr>
          <w:p w14:paraId="08F25FE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14AE20C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4BB7D1F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1FDFC93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908719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22" w:type="dxa"/>
            <w:tcBorders>
              <w:top w:val="nil"/>
              <w:left w:val="nil"/>
              <w:bottom w:val="nil"/>
              <w:right w:val="nil"/>
            </w:tcBorders>
            <w:shd w:val="clear" w:color="auto" w:fill="auto"/>
            <w:vAlign w:val="center"/>
          </w:tcPr>
          <w:p w14:paraId="79F0D31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B7F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6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18F55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ABBE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89F7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090F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51320021T000000049257-代表培训</w:t>
            </w:r>
          </w:p>
        </w:tc>
      </w:tr>
      <w:tr w14:paraId="262BF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F456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B034F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7000EF1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5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AA33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52FC2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4059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11C3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780D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6564D8">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00F6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6822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7306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32B82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　全州285名人大代表分片区开展培训，标准60人*550元*7天*3期，按州人常委会工作要点安排，组织基层人大代表参加履职培训，标准60人*550元*5天*2期。开展培训直接发生的各项支出，包括师资费、住宿费、伙食费、培训场地费、培训资料费、交通费以及其他费用</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3F98E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组织18名省人大代表参加履职培训，举办州人大代表履职培训班2期160余人次，提升代表履职水平</w:t>
            </w:r>
          </w:p>
        </w:tc>
      </w:tr>
      <w:tr w14:paraId="007DD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DB04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F9E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DFA4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组织18名省人大代表参加履职培训，举办州人大代表履职培训班2期160余人次，提升代表履职水平。</w:t>
            </w:r>
          </w:p>
        </w:tc>
      </w:tr>
      <w:tr w14:paraId="7F149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EDD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3D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3B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B3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BBA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63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CC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C2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DC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42486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8EE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75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76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69.30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C2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60.29</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5B64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60.29</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14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47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CA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8.6</w:t>
            </w:r>
          </w:p>
        </w:tc>
        <w:tc>
          <w:tcPr>
            <w:tcW w:w="4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6BDF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按州委指示将3期培训改为2期培训，人数相应减少</w:t>
            </w:r>
          </w:p>
        </w:tc>
      </w:tr>
      <w:tr w14:paraId="6E6BE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35D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AD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19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69.30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E8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60.29</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98C3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60.29</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2F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74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B6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F5AD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7938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68D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B1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AD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A0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F58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79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A6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DF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576D6">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7C0C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105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8C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B1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F7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556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01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71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4F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970B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C8B8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48D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48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1EC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BFE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1F7DD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D11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06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AF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A012E">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65EC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C06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D1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BF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BD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EC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B7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DC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45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62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9E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C0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5411A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A25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534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517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05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参训人数</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44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B9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27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314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178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65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5C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601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按州委指示将3期培训改为2期培训，人数相应减少</w:t>
            </w:r>
          </w:p>
        </w:tc>
      </w:tr>
      <w:tr w14:paraId="6BBD7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95B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39A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C53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DD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参训批次</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01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68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D8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批</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612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F3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B0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9AD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按州委指示将3期培训改为2期培训，人数相应减少</w:t>
            </w:r>
          </w:p>
        </w:tc>
      </w:tr>
      <w:tr w14:paraId="04AB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CFA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16B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12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25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参训人员合格率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DE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9E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D3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B0E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DC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A7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949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BA6A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2B5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3F1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AB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E1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培训完成时限</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B7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B8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75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615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1F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80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E5F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6E8D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4EF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B4E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C7C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3C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提高参训人员履职能力</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5F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31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有效提高</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14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6DC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有效提高</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78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52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A2C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6025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67F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5AF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F8B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15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参训人员收益期限</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81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02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4F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397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5D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8B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B74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644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D8A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9A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8E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80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参训代表的满意度</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76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D4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A4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A10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C0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7D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D6B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07A7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D9C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5C5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8EA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FF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培训总成本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17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1D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A1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14B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60.29</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F4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E3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BE0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F98F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9E7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E22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923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A0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培训成本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49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1E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69.3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42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E6A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60.29</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EB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24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E1F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按州委指示将3期培训改为2期培训，人数相应减少</w:t>
            </w:r>
          </w:p>
        </w:tc>
      </w:tr>
      <w:tr w14:paraId="11CC0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BD04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DA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7AA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30B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702A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69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8489EE">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7A28F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3D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DDE503">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21873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54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1E53F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6F656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A8046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4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EB5F53">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A2CB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1764EB9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nil"/>
              <w:left w:val="nil"/>
              <w:bottom w:val="nil"/>
              <w:right w:val="nil"/>
            </w:tcBorders>
            <w:shd w:val="clear" w:color="auto" w:fill="auto"/>
            <w:vAlign w:val="center"/>
          </w:tcPr>
          <w:p w14:paraId="2D864C0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5" w:type="dxa"/>
            <w:tcBorders>
              <w:top w:val="nil"/>
              <w:left w:val="nil"/>
              <w:bottom w:val="nil"/>
              <w:right w:val="nil"/>
            </w:tcBorders>
            <w:shd w:val="clear" w:color="auto" w:fill="auto"/>
            <w:vAlign w:val="center"/>
          </w:tcPr>
          <w:p w14:paraId="7190259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22" w:type="dxa"/>
            <w:tcBorders>
              <w:top w:val="nil"/>
              <w:left w:val="nil"/>
              <w:bottom w:val="nil"/>
              <w:right w:val="nil"/>
            </w:tcBorders>
            <w:shd w:val="clear" w:color="auto" w:fill="auto"/>
            <w:vAlign w:val="center"/>
          </w:tcPr>
          <w:p w14:paraId="0DF81F3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66F99E4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shd w:val="clear" w:color="auto" w:fill="auto"/>
            <w:vAlign w:val="center"/>
          </w:tcPr>
          <w:p w14:paraId="4ABA902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20230BF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40CB11F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74A3F63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7B91EE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22" w:type="dxa"/>
            <w:tcBorders>
              <w:top w:val="nil"/>
              <w:left w:val="nil"/>
              <w:bottom w:val="nil"/>
              <w:right w:val="nil"/>
            </w:tcBorders>
            <w:shd w:val="clear" w:color="auto" w:fill="auto"/>
            <w:vAlign w:val="center"/>
          </w:tcPr>
          <w:p w14:paraId="2EE6D7C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A9D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56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5F2C3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7859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75B7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5932E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51320021T000000049281-《阿坝人大》杂志制作费</w:t>
            </w:r>
          </w:p>
        </w:tc>
      </w:tr>
      <w:tr w14:paraId="4DD7A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EDB9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DBBC9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1E1BD05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5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1E0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11629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3490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E3E8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E0F7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EAB591">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7836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AFD0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3E6F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E5F93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　《阿坝人大》杂志为季刊,1年4本，设计、印刷、稿费、邮寄等费用共需10万元，</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3C220A">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2024年完成《阿坝人大》杂志4期的设计、印刷、稿费、邮寄等费用共开支9.37万元</w:t>
            </w:r>
          </w:p>
        </w:tc>
      </w:tr>
      <w:tr w14:paraId="23E14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3D50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CF3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35B6D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2024年完成《阿坝人大》4期的设计、印制，支付稿费和邮寄费等工作，共开支9.37万元。</w:t>
            </w:r>
          </w:p>
        </w:tc>
      </w:tr>
      <w:tr w14:paraId="20615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2B0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BA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EF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52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9B65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A3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6F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98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BB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7B1D5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B69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6B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70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92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9.37</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2F5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9.37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5C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78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3B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EE58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预算执行率为100%.</w:t>
            </w:r>
          </w:p>
        </w:tc>
      </w:tr>
      <w:tr w14:paraId="63149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175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1C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E1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11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9.37</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49D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9.37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B9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8B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E6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E5686">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714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084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1F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4C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4E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6EB4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F2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3B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F2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6FE39">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B2D6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6E9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2C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FC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A7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20FD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C7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C9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8A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1F0B4">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9FFE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431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FA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B4B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E9D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F2B9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27B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25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73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EB8CA">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E829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E55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7E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00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0A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7B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D4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99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4E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F4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3C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BA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20388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214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631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FA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5F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印刷杂志本数</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F0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09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71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本</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0F0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4F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F4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D24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1007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B82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881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438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97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合格率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7F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A2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08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F49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2A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BF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4AF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26D6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49F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8EE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2A6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92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验收合格率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67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A0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DD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816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99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56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031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58D3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F04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E42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E84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0F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支出合规性</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C9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5B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合规性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DB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FFB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合规性</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00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8C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E83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3FBB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295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8A8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13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E6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杂志制作完成时限</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BB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54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5A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638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E9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79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1C6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713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C38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15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57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可持续发展指标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9E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对本行业未来可持续发展扥影响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2A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07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持续影响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15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6C7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持续影响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83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75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17</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23E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0BA2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B89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AA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22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AC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杂志阅读人员的满意度</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9A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C0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3C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B9A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94</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2A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FA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C02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C2C8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7CE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7A9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EFE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68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CD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C1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98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87F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9.37</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F2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7A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FA3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88B8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C55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6F3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AD4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04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项目总成本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48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EF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30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CA9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9.37</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D8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50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3E6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E04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CBA9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69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9A0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81</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B78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A354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76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E3347C">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28FEF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A3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37656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2B2D8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CC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EB3042">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4E538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008614">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4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FEBDE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DA39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672E2EB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nil"/>
              <w:left w:val="nil"/>
              <w:bottom w:val="nil"/>
              <w:right w:val="nil"/>
            </w:tcBorders>
            <w:shd w:val="clear" w:color="auto" w:fill="auto"/>
            <w:vAlign w:val="center"/>
          </w:tcPr>
          <w:p w14:paraId="0CC3243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5" w:type="dxa"/>
            <w:tcBorders>
              <w:top w:val="nil"/>
              <w:left w:val="nil"/>
              <w:bottom w:val="nil"/>
              <w:right w:val="nil"/>
            </w:tcBorders>
            <w:shd w:val="clear" w:color="auto" w:fill="auto"/>
            <w:vAlign w:val="center"/>
          </w:tcPr>
          <w:p w14:paraId="17DEC98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22" w:type="dxa"/>
            <w:tcBorders>
              <w:top w:val="nil"/>
              <w:left w:val="nil"/>
              <w:bottom w:val="nil"/>
              <w:right w:val="nil"/>
            </w:tcBorders>
            <w:shd w:val="clear" w:color="auto" w:fill="auto"/>
            <w:vAlign w:val="center"/>
          </w:tcPr>
          <w:p w14:paraId="09B4904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70266A2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shd w:val="clear" w:color="auto" w:fill="auto"/>
            <w:vAlign w:val="center"/>
          </w:tcPr>
          <w:p w14:paraId="0C4E5B8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0BF221A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26755F2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4C9F866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2747C9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22" w:type="dxa"/>
            <w:tcBorders>
              <w:top w:val="nil"/>
              <w:left w:val="nil"/>
              <w:bottom w:val="nil"/>
              <w:right w:val="nil"/>
            </w:tcBorders>
            <w:shd w:val="clear" w:color="auto" w:fill="auto"/>
            <w:vAlign w:val="center"/>
          </w:tcPr>
          <w:p w14:paraId="31570CE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FB7A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6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39C98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FD0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039C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07084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51320021T000000049333-环保世纪行专项工作经费</w:t>
            </w:r>
          </w:p>
        </w:tc>
      </w:tr>
      <w:tr w14:paraId="11674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48C5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23F4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3293377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5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476B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5E184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06C5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5D33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3443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322252">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F2B8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6600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84E7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B6950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　2024年开展形式多样的“阿坝环保世纪行”宣传活动，加大生态环境保护宣传教育力度，普及生态环境保护科学知识，着力提高生态环境保护意识，为建设“川西北阿坝生态示范区”营造良好的社会舆论氛围。</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C36918">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完成6件生态保护方面法规修订，组织57名全国、省、州人大代表联动开展生态环境保护情况集中视察和《中华人民共和国黄河保护法》执行情况专题调研，开展驻州全国人大代表视察若尔盖国家公园建设工作，重点就泥炭和湿地保护、打击非法狩猎盗猎、环保督察反馈问题整改等开展监督，以解决重点环境问题带动生态保护提质增效。围绕“美丽阿坝建设我们在行动”主题，组织开展阿坝环保世纪行系列宣传活动，在阿坝日报、美丽阿坝等媒体开辟专栏，对汶川县三江镇原潘达尔景区环保整改、茂县南新镇李子苹果现代农业园区培育富民产业等进行集中采访报道，助力探寻生态保护与经济发展的最大公约数。</w:t>
            </w:r>
          </w:p>
        </w:tc>
      </w:tr>
      <w:tr w14:paraId="6C29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ED94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193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80429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全年完成6件生态保护方面法规修订，组织57名全国、省、州人大代表联动开展生态环境保护情况集中视察和《中华人民共和国黄河保护法》执行情况专题调研，开展驻州全国人大代表视察若尔盖国家公园建设工作，重点就泥炭和湿地保护、打击非法狩猎盗猎、环保督察反馈问题整改等开展监督，以解决重点环境问题带动生态保护提质增效。在调研和审议年度环境状况和环境保护目标完成情况中，对全州生态保护工作进行“全面体检”。围绕“美丽阿坝建设我们在行动”主题，组织开展阿坝环保世纪行系列宣传活动，在阿坝日报、美丽阿坝等媒体开辟专栏，对汶川县三江镇原潘达尔景区环保整改、茂县南新镇李子苹果现代农业园区培育富民产业等进行集中采访报道，助力探寻生态保护与经济发展的最大公约数。</w:t>
            </w:r>
          </w:p>
        </w:tc>
      </w:tr>
      <w:tr w14:paraId="59E0E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EA5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F7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23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C3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570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A4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63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70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61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114D0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A4D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3F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E9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F0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9.89</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F9ED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9.89</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0D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BD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C8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5B0F4">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预算执行率为100%.</w:t>
            </w:r>
          </w:p>
        </w:tc>
      </w:tr>
      <w:tr w14:paraId="41515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EEF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53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6B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92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9.89</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8E0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9.89</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48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C4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CC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ED599">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CCCD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582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08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07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5A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97C6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E9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5E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FD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E695A">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0C11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8A1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86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6D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A5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F3C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B4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7E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E4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129CE">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8C67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44A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CF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A3B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4B1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E339F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3CC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3E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2E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8D59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AACC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A1F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2F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91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63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7C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6D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D7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4F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89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1E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67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2A649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9DB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916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4E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24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宣传活动次数</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6E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C3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DE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7BE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4D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01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3F4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      </w:t>
            </w:r>
          </w:p>
        </w:tc>
      </w:tr>
      <w:tr w14:paraId="3EF68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1EE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61F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43B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C2F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活动开展率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5F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6C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CE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2BD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26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74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06B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FA95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4AC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115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278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4F1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16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EC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0D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0E3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8D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80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CAA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CA6B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FC3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D15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7D2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D7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支出合规性</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08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E3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合规性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40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1AE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09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07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A59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34E0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CD4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83D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6C2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9B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活动开展时间，截止2024年12月31日前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98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4E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E9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44A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4E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1D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B2D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F63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970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7B3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10E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B7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活动开展时间</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49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09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E4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1FD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71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EF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70E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74F9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FDE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A6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2D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56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公众知晓度</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46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56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62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141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4D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E0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17</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B42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E18B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CFF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2D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9F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73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受益对象的满意度</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51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61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04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69E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33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4D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F83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28C8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D3B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08D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206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DD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活动开展成本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7E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C2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E8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F4A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9.89</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CF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9D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921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B2E4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339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4CA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230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AC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活动开展总成本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E4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8B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23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C8B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9.89</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B6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DB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47D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031E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37D9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1E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7A0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81</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09A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766C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5B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C904B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4F70F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59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B50F8C">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70390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96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3A2CAB">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3E25D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2BFED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4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CE40D9">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956B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367236F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nil"/>
              <w:left w:val="nil"/>
              <w:bottom w:val="nil"/>
              <w:right w:val="nil"/>
            </w:tcBorders>
            <w:shd w:val="clear" w:color="auto" w:fill="auto"/>
            <w:vAlign w:val="center"/>
          </w:tcPr>
          <w:p w14:paraId="0C07C3E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5" w:type="dxa"/>
            <w:tcBorders>
              <w:top w:val="nil"/>
              <w:left w:val="nil"/>
              <w:bottom w:val="nil"/>
              <w:right w:val="nil"/>
            </w:tcBorders>
            <w:shd w:val="clear" w:color="auto" w:fill="auto"/>
            <w:vAlign w:val="center"/>
          </w:tcPr>
          <w:p w14:paraId="7A60B2D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22" w:type="dxa"/>
            <w:tcBorders>
              <w:top w:val="nil"/>
              <w:left w:val="nil"/>
              <w:bottom w:val="nil"/>
              <w:right w:val="nil"/>
            </w:tcBorders>
            <w:shd w:val="clear" w:color="auto" w:fill="auto"/>
            <w:vAlign w:val="center"/>
          </w:tcPr>
          <w:p w14:paraId="3122D34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0567416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shd w:val="clear" w:color="auto" w:fill="auto"/>
            <w:vAlign w:val="center"/>
          </w:tcPr>
          <w:p w14:paraId="18BA39F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70F4541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5D3E22B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2DE8D94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C90FB6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22" w:type="dxa"/>
            <w:tcBorders>
              <w:top w:val="nil"/>
              <w:left w:val="nil"/>
              <w:bottom w:val="nil"/>
              <w:right w:val="nil"/>
            </w:tcBorders>
            <w:shd w:val="clear" w:color="auto" w:fill="auto"/>
            <w:vAlign w:val="center"/>
          </w:tcPr>
          <w:p w14:paraId="73D4F34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ECE4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6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E58507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1374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A336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3B554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51320021T000000049369-其他人大事务支出</w:t>
            </w:r>
          </w:p>
        </w:tc>
      </w:tr>
      <w:tr w14:paraId="5E6E4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F450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D7FC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32B4CDD8">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5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37B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2D7EC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C882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74E8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23C8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431E31">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DF25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27CE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C3E2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6F030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　进一步做好单位档案管理各项工作，提升单位档案管理综合水平，实现档案查阅便捷度提升，确保档案整理工作的顺利开展。</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62AA3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2024年按时完成机关人事及文书等档案的整理，支付劳务费。</w:t>
            </w:r>
          </w:p>
        </w:tc>
      </w:tr>
      <w:tr w14:paraId="01548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C531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B3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98E09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2024年按时完成机关人事及文书等档案的整理</w:t>
            </w:r>
          </w:p>
        </w:tc>
      </w:tr>
      <w:tr w14:paraId="68076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23A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A5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8A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69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D0D3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B3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73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83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F0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190BF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F5B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CC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CE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41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1.16</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8DE8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11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BE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20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4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7FBB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预算执行率为100%.</w:t>
            </w:r>
          </w:p>
        </w:tc>
      </w:tr>
      <w:tr w14:paraId="15F75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81D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EA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D9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03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1.16</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E082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E8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44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EF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832CF">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39F7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A8C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D0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CF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09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1A2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91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56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21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1C845">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A42F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609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54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E1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DF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5AB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8B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04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F8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5837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3B40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166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EC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E1B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F0E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49EA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B99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8B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DE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A26AE">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303D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D66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1C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D8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42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EF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CF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F3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09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99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2E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22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1E6DC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BBA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B7D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CD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7C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档案整理件数</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DF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46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68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件</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C05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75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8B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0E0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C180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FE5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026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9C3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21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档案整理合格率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F4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C4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A2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3FA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9B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84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DD8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309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809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7FB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B1D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46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支出合规率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70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B5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合规率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E1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101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合规</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76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6E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5BD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DDCF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BB6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D06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A1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DA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档案整理完成时限</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D3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E5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B3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911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F8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1A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FBE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EFB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29A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65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DE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B3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提升单位档案管理综合水平</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CF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A4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有效提高</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78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BC8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45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9F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164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9FED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C60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55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3A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BC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单位职工满意度</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2B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E6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DE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BF8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6C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C9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C10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BF00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FAC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E04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671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CA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档案整理总成本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F1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C3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50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539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1.16</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90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6D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7E1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2DF8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1F4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DA9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A71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F3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档案整理成本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D4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94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3F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C56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1.16</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5D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EC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856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8227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C05C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0D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D0F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31C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85A5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3C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4614BB">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55EAC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E1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4F1B02">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0114C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37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DDDCAF">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65386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04CFA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4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98FEC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FBD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3570A41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nil"/>
              <w:left w:val="nil"/>
              <w:bottom w:val="nil"/>
              <w:right w:val="nil"/>
            </w:tcBorders>
            <w:shd w:val="clear" w:color="auto" w:fill="auto"/>
            <w:vAlign w:val="center"/>
          </w:tcPr>
          <w:p w14:paraId="5320B8C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5" w:type="dxa"/>
            <w:tcBorders>
              <w:top w:val="nil"/>
              <w:left w:val="nil"/>
              <w:bottom w:val="nil"/>
              <w:right w:val="nil"/>
            </w:tcBorders>
            <w:shd w:val="clear" w:color="auto" w:fill="auto"/>
            <w:vAlign w:val="center"/>
          </w:tcPr>
          <w:p w14:paraId="7D73C27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22" w:type="dxa"/>
            <w:tcBorders>
              <w:top w:val="nil"/>
              <w:left w:val="nil"/>
              <w:bottom w:val="nil"/>
              <w:right w:val="nil"/>
            </w:tcBorders>
            <w:shd w:val="clear" w:color="auto" w:fill="auto"/>
            <w:vAlign w:val="center"/>
          </w:tcPr>
          <w:p w14:paraId="7EBDA6D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01A4673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shd w:val="clear" w:color="auto" w:fill="auto"/>
            <w:vAlign w:val="center"/>
          </w:tcPr>
          <w:p w14:paraId="40C6E8E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606F377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5FDE882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13A1E09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33A515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22" w:type="dxa"/>
            <w:tcBorders>
              <w:top w:val="nil"/>
              <w:left w:val="nil"/>
              <w:bottom w:val="nil"/>
              <w:right w:val="nil"/>
            </w:tcBorders>
            <w:shd w:val="clear" w:color="auto" w:fill="auto"/>
            <w:vAlign w:val="center"/>
          </w:tcPr>
          <w:p w14:paraId="615B7EA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A238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6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C2173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168D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9844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2567B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51320021T000000049381-专项工作经费</w:t>
            </w:r>
          </w:p>
        </w:tc>
      </w:tr>
      <w:tr w14:paraId="6BC71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659C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9B76F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41ACF60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5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A8C6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66E2B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058B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893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6A2F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6BB403">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FAB7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CA89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73E6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7B2D8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　加强机关自身建设，保障机关工作正常运转所需办公费10万，邮电费20万，差旅费60万，其他商品服务支出10万.为保障机关工作正常运转，资金的使用率达到100%</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7C891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严格执行预算，保障人大机关日常运转</w:t>
            </w:r>
          </w:p>
        </w:tc>
      </w:tr>
      <w:tr w14:paraId="1F4F0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5971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72E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5FEF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严格执行预算，保障人大机关日常运转</w:t>
            </w:r>
          </w:p>
        </w:tc>
      </w:tr>
      <w:tr w14:paraId="1991B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345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F9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78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E8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27BF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98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F6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3C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53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3CD91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2B7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E8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BE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5D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119.91</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7A7F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119.91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E6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0B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DF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3C0F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预算执行率100%</w:t>
            </w:r>
          </w:p>
        </w:tc>
      </w:tr>
      <w:tr w14:paraId="60C51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60B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F9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F6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04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119.91</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95F4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119.91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B6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E6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76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0A123">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ED5A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285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B7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5D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5E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026A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DF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3B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F5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88B7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1A6F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5D7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9F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3B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69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1C88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94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1E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04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64F80">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476E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E2F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A3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8E2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26C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11CFF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6AC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65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92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4AC6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E4CE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AEC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5D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94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08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84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BF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8A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A9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9E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35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8B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1E8BC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34F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B5B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BF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EA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专项工作开展次数</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5C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63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F3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7D0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98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8C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575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E28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0B5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18D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A46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E3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支出合规率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C5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97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合规性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CF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BB6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F6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37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955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895D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B92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9B1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E77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10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日常工作正常运转达标率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69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DC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49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96C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C9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74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8A7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2B0B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DD1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C0B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A7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46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专项工作完成时限</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93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91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2F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823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77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A9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FCD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E766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6D1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F7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92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A8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提升单位工作效率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F4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BC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有效提升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B6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E15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B1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CD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3AC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5E6D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48F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F1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F1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FB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职工满意度</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78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62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CF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B1F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A4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13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E0B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9AE2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564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53C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4F4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D6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专项工作总成本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13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08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52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C4A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119.91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13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51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BFD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FA21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093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40A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C1A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DC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专项工作成本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4F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25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16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453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119.91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B9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E1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7F4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厉行节约压缩机关运行成本</w:t>
            </w:r>
          </w:p>
        </w:tc>
      </w:tr>
      <w:tr w14:paraId="388E0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6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7C96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29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C47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81</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241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F954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7D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B5C94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244D0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F0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7AFD3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0464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23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6EF05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1DE88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89B2FA">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4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4230E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DB0C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78CF44F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nil"/>
              <w:left w:val="nil"/>
              <w:bottom w:val="nil"/>
              <w:right w:val="nil"/>
            </w:tcBorders>
            <w:shd w:val="clear" w:color="auto" w:fill="auto"/>
            <w:vAlign w:val="center"/>
          </w:tcPr>
          <w:p w14:paraId="63739DC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5" w:type="dxa"/>
            <w:tcBorders>
              <w:top w:val="nil"/>
              <w:left w:val="nil"/>
              <w:bottom w:val="nil"/>
              <w:right w:val="nil"/>
            </w:tcBorders>
            <w:shd w:val="clear" w:color="auto" w:fill="auto"/>
            <w:vAlign w:val="center"/>
          </w:tcPr>
          <w:p w14:paraId="5F6F9E5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22" w:type="dxa"/>
            <w:tcBorders>
              <w:top w:val="nil"/>
              <w:left w:val="nil"/>
              <w:bottom w:val="nil"/>
              <w:right w:val="nil"/>
            </w:tcBorders>
            <w:shd w:val="clear" w:color="auto" w:fill="auto"/>
            <w:vAlign w:val="center"/>
          </w:tcPr>
          <w:p w14:paraId="2A67F16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14DF98F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shd w:val="clear" w:color="auto" w:fill="auto"/>
            <w:vAlign w:val="center"/>
          </w:tcPr>
          <w:p w14:paraId="647D002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30D6697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3D7E7C5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569AFCB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CAB0A9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22" w:type="dxa"/>
            <w:tcBorders>
              <w:top w:val="nil"/>
              <w:left w:val="nil"/>
              <w:bottom w:val="nil"/>
              <w:right w:val="nil"/>
            </w:tcBorders>
            <w:shd w:val="clear" w:color="auto" w:fill="auto"/>
            <w:vAlign w:val="center"/>
          </w:tcPr>
          <w:p w14:paraId="28AFC6A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2544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60C1310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nil"/>
              <w:left w:val="nil"/>
              <w:bottom w:val="nil"/>
              <w:right w:val="nil"/>
            </w:tcBorders>
            <w:shd w:val="clear" w:color="auto" w:fill="auto"/>
            <w:vAlign w:val="center"/>
          </w:tcPr>
          <w:p w14:paraId="7067197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5" w:type="dxa"/>
            <w:tcBorders>
              <w:top w:val="nil"/>
              <w:left w:val="nil"/>
              <w:bottom w:val="nil"/>
              <w:right w:val="nil"/>
            </w:tcBorders>
            <w:shd w:val="clear" w:color="auto" w:fill="auto"/>
            <w:vAlign w:val="center"/>
          </w:tcPr>
          <w:p w14:paraId="55074A1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22" w:type="dxa"/>
            <w:tcBorders>
              <w:top w:val="nil"/>
              <w:left w:val="nil"/>
              <w:bottom w:val="nil"/>
              <w:right w:val="nil"/>
            </w:tcBorders>
            <w:shd w:val="clear" w:color="auto" w:fill="auto"/>
            <w:vAlign w:val="center"/>
          </w:tcPr>
          <w:p w14:paraId="747FEFF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457CAB8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shd w:val="clear" w:color="auto" w:fill="auto"/>
            <w:vAlign w:val="center"/>
          </w:tcPr>
          <w:p w14:paraId="6B4DCEC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0A8634E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510CEE6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5575F74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7E9E84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22" w:type="dxa"/>
            <w:tcBorders>
              <w:top w:val="nil"/>
              <w:left w:val="nil"/>
              <w:bottom w:val="nil"/>
              <w:right w:val="nil"/>
            </w:tcBorders>
            <w:shd w:val="clear" w:color="auto" w:fill="auto"/>
            <w:vAlign w:val="center"/>
          </w:tcPr>
          <w:p w14:paraId="43990D1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B09C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6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D7014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F318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0389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D93FD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51320022T000000335823-常委会会议费</w:t>
            </w:r>
          </w:p>
        </w:tc>
      </w:tr>
      <w:tr w14:paraId="47CAA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04FF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D44B9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3DC3675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5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9338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5042C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C318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4AC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ADBE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DB175D">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25BC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A87F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70C5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11BB3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召开6-8次常委会日常会议和1次主任学习会</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28D60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组织召开好6次常委会和1次常委会组成人员学习会</w:t>
            </w:r>
          </w:p>
        </w:tc>
      </w:tr>
      <w:tr w14:paraId="7AC86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243D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D47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7ABE8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组织召开6次常委会和1次常委会组成人员学习会所产生的食宿、交通以及办公费。</w:t>
            </w:r>
          </w:p>
        </w:tc>
      </w:tr>
      <w:tr w14:paraId="6C968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54A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C6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F3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59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412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AA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F3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8D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14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6FCDE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BFC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BD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0F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69.30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90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37.71</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A8AC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37.71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ED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6A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F5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D5348">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预算执行率100%，按常委会工作安排</w:t>
            </w:r>
          </w:p>
        </w:tc>
      </w:tr>
      <w:tr w14:paraId="74182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747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53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71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69.30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11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37.71</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C60B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37.71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C1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34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94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F6D50">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F54C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881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1A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AB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11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228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92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EC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C8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90891">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F479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EBC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41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42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FC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4A57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C3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FE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AB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73DA6">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4306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79C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DB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160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821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2563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379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88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15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27513">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B4D9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279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FF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E8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0B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87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88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21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FB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5E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35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5F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3E3CC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AEA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115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99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1B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会议召开场次</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79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74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BE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场次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4D4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C9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83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1DF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F4FC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3AF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97D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F47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6E5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会议召开质量</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5B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19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质量高</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E3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B5E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03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79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3E3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B79A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440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CBE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AB8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ECE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9B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72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0A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181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EC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D5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CF1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76B9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696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18C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05C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FF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支出合规性</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94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20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0A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528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7F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2E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073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A046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640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B25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4F0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8A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会议召开完成时间2024年12月31日前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E3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1D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1E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EA8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43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55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21C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2D4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CC6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273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C35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CC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会议召开完成时间</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23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0E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截止2024年12月31日</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5C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8E0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BC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A2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EDC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1C20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8AD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EF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E0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可持续发展指标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AD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会议保障</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D8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E0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可持续保障</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F4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5EF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FF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24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224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A4CD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D27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BF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15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21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受益对象满意度</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FB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C5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A2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93B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D2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54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B8E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9053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61A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706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A98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C2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召开会议总成本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D5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3C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62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612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37.71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C2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AF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914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厉行节约，严格控制会议举办成本，压缩会期</w:t>
            </w:r>
          </w:p>
        </w:tc>
      </w:tr>
      <w:tr w14:paraId="5DD38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EF7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10E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14C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B4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召开会议成本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C1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B5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6B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865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37.71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5C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A0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FD3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厉行节约，严格控制会议举办成本，压缩会期</w:t>
            </w:r>
          </w:p>
        </w:tc>
      </w:tr>
      <w:tr w14:paraId="3B7D9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5CB7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1E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D92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3A8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499B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20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E294E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5D6CE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3F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35855E">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5594C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B1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AC8ACF">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72321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A91F67">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4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00FCB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1D35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57E8BC8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nil"/>
              <w:left w:val="nil"/>
              <w:bottom w:val="nil"/>
              <w:right w:val="nil"/>
            </w:tcBorders>
            <w:shd w:val="clear" w:color="auto" w:fill="auto"/>
            <w:vAlign w:val="center"/>
          </w:tcPr>
          <w:p w14:paraId="0643215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5" w:type="dxa"/>
            <w:tcBorders>
              <w:top w:val="nil"/>
              <w:left w:val="nil"/>
              <w:bottom w:val="nil"/>
              <w:right w:val="nil"/>
            </w:tcBorders>
            <w:shd w:val="clear" w:color="auto" w:fill="auto"/>
            <w:vAlign w:val="center"/>
          </w:tcPr>
          <w:p w14:paraId="577B744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22" w:type="dxa"/>
            <w:tcBorders>
              <w:top w:val="nil"/>
              <w:left w:val="nil"/>
              <w:bottom w:val="nil"/>
              <w:right w:val="nil"/>
            </w:tcBorders>
            <w:shd w:val="clear" w:color="auto" w:fill="auto"/>
            <w:vAlign w:val="center"/>
          </w:tcPr>
          <w:p w14:paraId="5C67FB4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522BA84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shd w:val="clear" w:color="auto" w:fill="auto"/>
            <w:vAlign w:val="center"/>
          </w:tcPr>
          <w:p w14:paraId="7D040E7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05D02B4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67D847C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4FD8040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8EAEC1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22" w:type="dxa"/>
            <w:tcBorders>
              <w:top w:val="nil"/>
              <w:left w:val="nil"/>
              <w:bottom w:val="nil"/>
              <w:right w:val="nil"/>
            </w:tcBorders>
            <w:shd w:val="clear" w:color="auto" w:fill="auto"/>
            <w:vAlign w:val="center"/>
          </w:tcPr>
          <w:p w14:paraId="363C754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CEAC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6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10194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1E5E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4FF5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9A969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51320022T000000352866-公务用车大修费用</w:t>
            </w:r>
          </w:p>
        </w:tc>
      </w:tr>
      <w:tr w14:paraId="45E36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BF9C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F29AD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4B7C86CA">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5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8E7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11B6B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8981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7F6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D630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5A6488">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5427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9922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5B42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12F7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机关有川U78902号车、川U00029号车和川U91024号车已行驶10年以上，且车均行驶公里数达30万公里以上，车况逐年下降，经常出现故障，维修和保养费用逐年上升，为保证车辆的正常运转，确保机关工作用车安全，特安排2024年车辆大修</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D4A3F8">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州人大机关2024年按采购相关流程按时完成川U78902号车、川U00029号车和川U91024号车大修任务</w:t>
            </w:r>
          </w:p>
        </w:tc>
      </w:tr>
      <w:tr w14:paraId="5B722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338A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534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88021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州人大机关2024年按采购相关流程按时完成川U78902号车、川U00029号车和川U91024号车大修任务</w:t>
            </w:r>
          </w:p>
        </w:tc>
      </w:tr>
      <w:tr w14:paraId="22AB5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904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58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93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CC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F07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A5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BA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FF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D8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6AB97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2F2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A0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63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24.00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88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23.67</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B6B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23.67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31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D0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DF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4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F07C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预算执行率100%</w:t>
            </w:r>
          </w:p>
        </w:tc>
      </w:tr>
      <w:tr w14:paraId="50A0F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8F2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E1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21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24.00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45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23.67</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949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23.67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56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60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71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8AE4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1C2A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D58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D1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50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68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572C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43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8C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F6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1366D">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9DBE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C68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34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9F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36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0C51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41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34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AB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351B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C382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E88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DE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D94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D3B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626CC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DC6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A5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18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25C44">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9989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28D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3B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A6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2F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F8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44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85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45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9B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7B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07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25380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C0F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DD7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91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6E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公务用车大修数量</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5C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18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44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97E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3A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33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051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D000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F78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C80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EC7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57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支出合规性</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17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3F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50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523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42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E3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533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8CD5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FA6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C46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B9C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AB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公务用车大修合格率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3C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5F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F0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AE5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5B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8C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F86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2FF9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9FC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20C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80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BF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公务用车大修完成时限</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B6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BE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95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F7D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A9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76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308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53C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348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2F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6F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可持续影响指标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81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车辆使用年限</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B8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D7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F2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3DE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F2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09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16</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0F7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40DF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355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03D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15F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ED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乘坐人员满意度</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84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06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9B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697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5E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AA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967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101D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399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046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8A6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82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乘坐人员满意度/开车人员满意度</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10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4C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40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761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48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E6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470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2588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73D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E49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349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D5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项目总成本/每辆</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37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35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7.89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8D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F08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7.89</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D5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BE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2F3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9107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EA4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8CB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8A0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CE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车辆维修成本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29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66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7.89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34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81A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7.89</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20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7F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C25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9534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477B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8C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0C3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82</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349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B706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0D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9C94EB">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20C01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73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5FF7CA">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4C64F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36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AAF5F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5F491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A1897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4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429B4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8776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0389E59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nil"/>
              <w:left w:val="nil"/>
              <w:bottom w:val="nil"/>
              <w:right w:val="nil"/>
            </w:tcBorders>
            <w:shd w:val="clear" w:color="auto" w:fill="auto"/>
            <w:vAlign w:val="center"/>
          </w:tcPr>
          <w:p w14:paraId="7F0517F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5" w:type="dxa"/>
            <w:tcBorders>
              <w:top w:val="nil"/>
              <w:left w:val="nil"/>
              <w:bottom w:val="nil"/>
              <w:right w:val="nil"/>
            </w:tcBorders>
            <w:shd w:val="clear" w:color="auto" w:fill="auto"/>
            <w:vAlign w:val="center"/>
          </w:tcPr>
          <w:p w14:paraId="10A7E11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22" w:type="dxa"/>
            <w:tcBorders>
              <w:top w:val="nil"/>
              <w:left w:val="nil"/>
              <w:bottom w:val="nil"/>
              <w:right w:val="nil"/>
            </w:tcBorders>
            <w:shd w:val="clear" w:color="auto" w:fill="auto"/>
            <w:vAlign w:val="center"/>
          </w:tcPr>
          <w:p w14:paraId="2900615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53AD162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shd w:val="clear" w:color="auto" w:fill="auto"/>
            <w:vAlign w:val="center"/>
          </w:tcPr>
          <w:p w14:paraId="1BE5C0B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64F9696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718A9C4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2F96EEF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9F01A0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22" w:type="dxa"/>
            <w:tcBorders>
              <w:top w:val="nil"/>
              <w:left w:val="nil"/>
              <w:bottom w:val="nil"/>
              <w:right w:val="nil"/>
            </w:tcBorders>
            <w:shd w:val="clear" w:color="auto" w:fill="auto"/>
            <w:vAlign w:val="center"/>
          </w:tcPr>
          <w:p w14:paraId="7CB9A2C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7E0A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6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8C01B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B809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2D04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58B6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51320022T000006685615-春节高层次人才慰问经费</w:t>
            </w:r>
          </w:p>
        </w:tc>
      </w:tr>
      <w:tr w14:paraId="373DA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1FA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5BFB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7D738A63">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5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781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0E671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60CA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97DE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9E5D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B947DA">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D47B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AEE0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4604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EB6F4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按文件精神单位厅级领导对27个州各学科领域高层次人才进行春节走访慰问，体现党和政府对专家的重视和关爱，市服务对象的满意度达到100%</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318A7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按文件规定为高层次人才购置人均1000元慰问品</w:t>
            </w:r>
          </w:p>
        </w:tc>
      </w:tr>
      <w:tr w14:paraId="3B7EB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5E43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F31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CF1AF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按文件规定为高层次人才购置人均1000元慰问品</w:t>
            </w:r>
          </w:p>
        </w:tc>
      </w:tr>
      <w:tr w14:paraId="43CE9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445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2D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F3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4D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8F2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7E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AD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44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39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294D9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9E4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E6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64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70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1.78</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A43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1.78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13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58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7A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1C8E9">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预算执行率100%</w:t>
            </w:r>
          </w:p>
        </w:tc>
      </w:tr>
      <w:tr w14:paraId="149DC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1FD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CD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88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87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1.78</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D5B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1.78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43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83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97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4C2C3">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CCB5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E83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DC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95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EE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D6B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AB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51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74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868A9">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688B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412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D7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DD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51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09C1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CF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91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07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8346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1349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10A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BB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44C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6EB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454FD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02A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A6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67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A7569">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143F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44D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B4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38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4B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99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65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BA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29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0F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05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C3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5DCC7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2B9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1D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08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F8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被慰问满意度</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0A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10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14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218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FB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29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10C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ECBD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483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D1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AA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D6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慰问成本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CE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DC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54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168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1.78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DE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7C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DA9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8419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20A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86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76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09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满意度达到100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C3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B5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15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元/人·次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1FA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DD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C7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78D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DF28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315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49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FE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EB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慰问总成本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2A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0D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D2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08D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1.78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2A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04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A34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008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6581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8C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B2E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882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1F82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4E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6E1E3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3F571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79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6826E2">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0957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ED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67950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34220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0EFA18">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4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65047A">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BF08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1D5903E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nil"/>
              <w:left w:val="nil"/>
              <w:bottom w:val="nil"/>
              <w:right w:val="nil"/>
            </w:tcBorders>
            <w:shd w:val="clear" w:color="auto" w:fill="auto"/>
            <w:vAlign w:val="center"/>
          </w:tcPr>
          <w:p w14:paraId="1D5CBAB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5" w:type="dxa"/>
            <w:tcBorders>
              <w:top w:val="nil"/>
              <w:left w:val="nil"/>
              <w:bottom w:val="nil"/>
              <w:right w:val="nil"/>
            </w:tcBorders>
            <w:shd w:val="clear" w:color="auto" w:fill="auto"/>
            <w:vAlign w:val="center"/>
          </w:tcPr>
          <w:p w14:paraId="0006F3A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22" w:type="dxa"/>
            <w:tcBorders>
              <w:top w:val="nil"/>
              <w:left w:val="nil"/>
              <w:bottom w:val="nil"/>
              <w:right w:val="nil"/>
            </w:tcBorders>
            <w:shd w:val="clear" w:color="auto" w:fill="auto"/>
            <w:vAlign w:val="center"/>
          </w:tcPr>
          <w:p w14:paraId="45AAE1C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63ECD06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shd w:val="clear" w:color="auto" w:fill="auto"/>
            <w:vAlign w:val="center"/>
          </w:tcPr>
          <w:p w14:paraId="1B9911B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5C7893B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1BDF9B2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1ED0EA0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6C3CB7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22" w:type="dxa"/>
            <w:tcBorders>
              <w:top w:val="nil"/>
              <w:left w:val="nil"/>
              <w:bottom w:val="nil"/>
              <w:right w:val="nil"/>
            </w:tcBorders>
            <w:shd w:val="clear" w:color="auto" w:fill="auto"/>
            <w:vAlign w:val="center"/>
          </w:tcPr>
          <w:p w14:paraId="206854B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1220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222AFBA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nil"/>
              <w:left w:val="nil"/>
              <w:bottom w:val="nil"/>
              <w:right w:val="nil"/>
            </w:tcBorders>
            <w:shd w:val="clear" w:color="auto" w:fill="auto"/>
            <w:vAlign w:val="center"/>
          </w:tcPr>
          <w:p w14:paraId="02B0095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5" w:type="dxa"/>
            <w:tcBorders>
              <w:top w:val="nil"/>
              <w:left w:val="nil"/>
              <w:bottom w:val="nil"/>
              <w:right w:val="nil"/>
            </w:tcBorders>
            <w:shd w:val="clear" w:color="auto" w:fill="auto"/>
            <w:vAlign w:val="center"/>
          </w:tcPr>
          <w:p w14:paraId="25AD468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22" w:type="dxa"/>
            <w:tcBorders>
              <w:top w:val="nil"/>
              <w:left w:val="nil"/>
              <w:bottom w:val="nil"/>
              <w:right w:val="nil"/>
            </w:tcBorders>
            <w:shd w:val="clear" w:color="auto" w:fill="auto"/>
            <w:vAlign w:val="center"/>
          </w:tcPr>
          <w:p w14:paraId="6E5EDA0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714252D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shd w:val="clear" w:color="auto" w:fill="auto"/>
            <w:vAlign w:val="center"/>
          </w:tcPr>
          <w:p w14:paraId="440B53A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5ECA41D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720C60E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5013BF9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996BF1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22" w:type="dxa"/>
            <w:tcBorders>
              <w:top w:val="nil"/>
              <w:left w:val="nil"/>
              <w:bottom w:val="nil"/>
              <w:right w:val="nil"/>
            </w:tcBorders>
            <w:shd w:val="clear" w:color="auto" w:fill="auto"/>
            <w:vAlign w:val="center"/>
          </w:tcPr>
          <w:p w14:paraId="2155BF5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D8C1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6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B544C6">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E26B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7EA2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E2FFC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51320023T000008033449-人大宣传费</w:t>
            </w:r>
          </w:p>
        </w:tc>
      </w:tr>
      <w:tr w14:paraId="63384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11DB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0CAA9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34F0345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5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503B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07AC6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3B7B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3E6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C48E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6C4709">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8F87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5"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2264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6627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0B3C0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为更好地宣传好人民代表大会制度，坚持正确舆论导向，认真落实意识形态工作责任制，加强人大宣传信息工作的统筹协调和组织策划，综合运用多种宣传手段，开展多种宣传活动，继续办好人大宣传平台，拓展人民代表大会制度、人大工作、代表工作宣传报道的广度和深度，努力扩大人民代表大会制度和人大工作的社会影响力。按照年度宣传工作计划，利用多种手段和方式，充分利用好人大宣传平台，加强与主流媒体合作， 强化人大系统宣传人员学习培训，加强对人大制度、代表风采、人大工作的宣传报道，广泛宣传人民代表大会制度、常委会依法履职情况和人大代表履职风采，让国家根本政治深入人心。开展活动、印制宣传品、拍摄宣传片等费用共需30万元</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B116E9">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州人大机关整合全媒资源与文化传媒公司合作加强人大工作对外宣传力度，通过专题报道和日常动态报道相结合的方式，提高人大工作知晓度和人民群众满意度。举办人民代表大会制度建立70周年主题宣传、全州人大系统“迎国庆 心向党 壮丽七十年 奋进新时代”演讲比赛，加强人大新闻宣传工作，成功承办省人大信息化建设和宣传工作交流会。</w:t>
            </w:r>
          </w:p>
        </w:tc>
      </w:tr>
      <w:tr w14:paraId="54CBD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F782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F5F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1EA86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机关整合全媒资源与文化传媒公司合作加强人大工作对外宣传力度，通过专题报道和日常动态报道相结合的方式，提高人大工作知晓度和人民群总满意度。举办人民代表大会制度建立70周年主题宣传、全州人大系统“迎国庆 心向党 壮丽七十年 奋进新时代”演讲比赛，加强人大新闻宣传工作，成功承办省人大信息化建设和宣传工作交流会。</w:t>
            </w:r>
          </w:p>
        </w:tc>
      </w:tr>
      <w:tr w14:paraId="6977C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121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56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D7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1D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82F1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85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66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4D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10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4773A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4C4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F0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0B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4C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19.42</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4D8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19.42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5F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5C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CE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4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9361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预算执行率100%，按常委会工作安排</w:t>
            </w:r>
          </w:p>
        </w:tc>
      </w:tr>
      <w:tr w14:paraId="2697A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38B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13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E0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FE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19.42</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B33F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19.42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32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65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BF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C7A2C">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44CE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7C6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5A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8B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06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72CF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16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B2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20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E5E1F">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C4E4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C79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20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8D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3D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0DA8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AC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88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C0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B5578">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D6D0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A27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FB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8CC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D77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7F39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7C5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A9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D4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DE83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BA05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DCB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F1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76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70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DD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79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41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2A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E9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46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4F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3B75E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D75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9DF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11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7F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宣传次数</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70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22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C2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场次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093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FC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EA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DBA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DC2E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E7B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AAF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03C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54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宣传完成度</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54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1C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AE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E04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CE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91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4D7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D9D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429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65C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C67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0C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支出合规性</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81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4D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E6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BAE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42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91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E69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63FD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540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8A2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51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74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宣传完成时限</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00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92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04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DF1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00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52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2AF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E3A7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AA8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EA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92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52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受益对象的知晓度</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E4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79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EA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137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94</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48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20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500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C643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FA3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EE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ED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CD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职工满意度</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3F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09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04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856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F8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58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4CB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AC93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A03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E00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00D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36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宣传成本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7C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C3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D5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D65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19.42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E4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23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03E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按常委会工作安排</w:t>
            </w:r>
          </w:p>
        </w:tc>
      </w:tr>
      <w:tr w14:paraId="71803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D7C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381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BB3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D4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宣传费用成本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18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D0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C7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9AA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19.42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7B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3A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971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按常委会工作安排</w:t>
            </w:r>
          </w:p>
        </w:tc>
      </w:tr>
      <w:tr w14:paraId="7AB11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6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AF95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39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C35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5E9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F72B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02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538133">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60213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2A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F67B04">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4F0F0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5E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BCBA1C">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3458B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0B8AF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4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CD90E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884E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1F2D18B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nil"/>
              <w:left w:val="nil"/>
              <w:bottom w:val="nil"/>
              <w:right w:val="nil"/>
            </w:tcBorders>
            <w:shd w:val="clear" w:color="auto" w:fill="auto"/>
            <w:vAlign w:val="center"/>
          </w:tcPr>
          <w:p w14:paraId="47039D9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5" w:type="dxa"/>
            <w:tcBorders>
              <w:top w:val="nil"/>
              <w:left w:val="nil"/>
              <w:bottom w:val="nil"/>
              <w:right w:val="nil"/>
            </w:tcBorders>
            <w:shd w:val="clear" w:color="auto" w:fill="auto"/>
            <w:vAlign w:val="center"/>
          </w:tcPr>
          <w:p w14:paraId="2811D73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22" w:type="dxa"/>
            <w:tcBorders>
              <w:top w:val="nil"/>
              <w:left w:val="nil"/>
              <w:bottom w:val="nil"/>
              <w:right w:val="nil"/>
            </w:tcBorders>
            <w:shd w:val="clear" w:color="auto" w:fill="auto"/>
            <w:vAlign w:val="center"/>
          </w:tcPr>
          <w:p w14:paraId="46E9C47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2EAAB6C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shd w:val="clear" w:color="auto" w:fill="auto"/>
            <w:vAlign w:val="center"/>
          </w:tcPr>
          <w:p w14:paraId="457E9A8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4FFA70D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5190080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30E6BE8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92CF67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22" w:type="dxa"/>
            <w:tcBorders>
              <w:top w:val="nil"/>
              <w:left w:val="nil"/>
              <w:bottom w:val="nil"/>
              <w:right w:val="nil"/>
            </w:tcBorders>
            <w:shd w:val="clear" w:color="auto" w:fill="auto"/>
            <w:vAlign w:val="center"/>
          </w:tcPr>
          <w:p w14:paraId="232FC3D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9CF3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4411C37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nil"/>
              <w:left w:val="nil"/>
              <w:bottom w:val="nil"/>
              <w:right w:val="nil"/>
            </w:tcBorders>
            <w:shd w:val="clear" w:color="auto" w:fill="auto"/>
            <w:vAlign w:val="center"/>
          </w:tcPr>
          <w:p w14:paraId="440F905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5" w:type="dxa"/>
            <w:tcBorders>
              <w:top w:val="nil"/>
              <w:left w:val="nil"/>
              <w:bottom w:val="nil"/>
              <w:right w:val="nil"/>
            </w:tcBorders>
            <w:shd w:val="clear" w:color="auto" w:fill="auto"/>
            <w:vAlign w:val="center"/>
          </w:tcPr>
          <w:p w14:paraId="5D2CB39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22" w:type="dxa"/>
            <w:tcBorders>
              <w:top w:val="nil"/>
              <w:left w:val="nil"/>
              <w:bottom w:val="nil"/>
              <w:right w:val="nil"/>
            </w:tcBorders>
            <w:shd w:val="clear" w:color="auto" w:fill="auto"/>
            <w:vAlign w:val="center"/>
          </w:tcPr>
          <w:p w14:paraId="1C93C68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4640DB7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shd w:val="clear" w:color="auto" w:fill="auto"/>
            <w:vAlign w:val="center"/>
          </w:tcPr>
          <w:p w14:paraId="6471623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3C63660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5DAA410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20F1105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660284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22" w:type="dxa"/>
            <w:tcBorders>
              <w:top w:val="nil"/>
              <w:left w:val="nil"/>
              <w:bottom w:val="nil"/>
              <w:right w:val="nil"/>
            </w:tcBorders>
            <w:shd w:val="clear" w:color="auto" w:fill="auto"/>
            <w:vAlign w:val="center"/>
          </w:tcPr>
          <w:p w14:paraId="2536FFA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8B94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6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A2076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907F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669C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D1A86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51320024T000010345156-全州人大系统办公室主任培训</w:t>
            </w:r>
          </w:p>
        </w:tc>
      </w:tr>
      <w:tr w14:paraId="01AE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2706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CE909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523C995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5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A8DC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27E70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B97F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1017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0CD9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665300">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10A7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C15C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2A60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89783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本次培训班重点围绕以中国式现代化全面推进中华民族伟大复——学习贯彻党二十大精神；党政机关公文写作实务与技巧；公职人员舆情风险意识提升与舆论危机应对等内容的学习。通过课堂授课、现场教学、案例解析，使参训干部在理论武装上有新进步，在业务水平上有新提高，在学以致用上有新收获，努力干好本职工作，为推动当地人大工作做出新的更大贡献。</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D1651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2024年按时完成全州人大系统办公室工作人员58人的1次培训任务</w:t>
            </w:r>
          </w:p>
        </w:tc>
      </w:tr>
      <w:tr w14:paraId="38759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0827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D63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866C7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2024年按时完成全州人大系统办公室工作人员58人的1次培训任务，培训总费用包含培训期间食宿、学习资料现场教学及车辆交通费、教师授课费等费用。</w:t>
            </w:r>
          </w:p>
        </w:tc>
      </w:tr>
      <w:tr w14:paraId="0866B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A5C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E3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FE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9E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9EB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69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93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99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1E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097BB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899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D1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A1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23.10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3C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22.13</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6B54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22.13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31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25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BC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9.6</w:t>
            </w:r>
          </w:p>
        </w:tc>
        <w:tc>
          <w:tcPr>
            <w:tcW w:w="4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725F3">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1.预算执行率=100，按实际报道58人计算费用</w:t>
            </w:r>
          </w:p>
        </w:tc>
      </w:tr>
      <w:tr w14:paraId="27956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D3B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8A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EC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23.10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0A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22.13</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75C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22.13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E6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74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48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9FBC3">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AB62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022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DE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B3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82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20C9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E8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B5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59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A6C2A">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6012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3CC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53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4F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F6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818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74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1A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DA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85FB0">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93B8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D2E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2A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F03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66B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90B2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68F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E3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61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26FB3">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7DAB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2C8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D9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7B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55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56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AF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90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07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6C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C4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3F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22C5D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036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DBB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44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04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参加培训人数</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EA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BB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8A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9E8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10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B2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F81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1B5B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B3B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A5A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E39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51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支出合规性</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75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CB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AD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113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72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C4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774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61CD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07F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014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7F6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D6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培训人员合格率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99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2C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18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E0E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31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76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87C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7DAA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530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ADC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A2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2A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培训完成时限</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F7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98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86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2CE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5B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49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47D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8C1B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610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9D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B0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可持续发展指标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C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对本行业未来可持续发展的影响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82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83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2D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323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42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10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CB2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04EF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BFA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5A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9D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9A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培训对象满意度</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75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73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5C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8D4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25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60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A96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493A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46B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BA5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60A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36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项目总成本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8D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D6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23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455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5D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E2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4EC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按实际报道58人计算费用</w:t>
            </w:r>
          </w:p>
        </w:tc>
      </w:tr>
      <w:tr w14:paraId="537FA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635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D0B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969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EA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C9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4B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23.1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0B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0A0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F8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82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61A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按实际报道58人计算费用</w:t>
            </w:r>
          </w:p>
        </w:tc>
      </w:tr>
      <w:tr w14:paraId="0478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9738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64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675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82</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C25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1816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2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C9900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49071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06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F799D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19FD5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5F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D1F76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1342D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815098">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4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120BD4">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34AF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78060CA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nil"/>
              <w:left w:val="nil"/>
              <w:bottom w:val="nil"/>
              <w:right w:val="nil"/>
            </w:tcBorders>
            <w:shd w:val="clear" w:color="auto" w:fill="auto"/>
            <w:vAlign w:val="center"/>
          </w:tcPr>
          <w:p w14:paraId="4E4C170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5" w:type="dxa"/>
            <w:tcBorders>
              <w:top w:val="nil"/>
              <w:left w:val="nil"/>
              <w:bottom w:val="nil"/>
              <w:right w:val="nil"/>
            </w:tcBorders>
            <w:shd w:val="clear" w:color="auto" w:fill="auto"/>
            <w:vAlign w:val="center"/>
          </w:tcPr>
          <w:p w14:paraId="4C30278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22" w:type="dxa"/>
            <w:tcBorders>
              <w:top w:val="nil"/>
              <w:left w:val="nil"/>
              <w:bottom w:val="nil"/>
              <w:right w:val="nil"/>
            </w:tcBorders>
            <w:shd w:val="clear" w:color="auto" w:fill="auto"/>
            <w:vAlign w:val="center"/>
          </w:tcPr>
          <w:p w14:paraId="124440E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1FCA8F6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shd w:val="clear" w:color="auto" w:fill="auto"/>
            <w:vAlign w:val="center"/>
          </w:tcPr>
          <w:p w14:paraId="721DE58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06EB1F1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1272950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5839C75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904FC9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22" w:type="dxa"/>
            <w:tcBorders>
              <w:top w:val="nil"/>
              <w:left w:val="nil"/>
              <w:bottom w:val="nil"/>
              <w:right w:val="nil"/>
            </w:tcBorders>
            <w:shd w:val="clear" w:color="auto" w:fill="auto"/>
            <w:vAlign w:val="center"/>
          </w:tcPr>
          <w:p w14:paraId="7607466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1E67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6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B9B235">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426F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9E51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A4BC4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51320024T000010368446-基层立法联系点工作经费</w:t>
            </w:r>
          </w:p>
        </w:tc>
      </w:tr>
      <w:tr w14:paraId="33DD0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5202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07E47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26ADDF0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5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CE1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66863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64A8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8FD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C85D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484252">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3E76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C076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EE27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BD126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在全州建立13个基层立法联系点，每个联系点每年工作经费各1万元。通过建立基层立法联系点，充分发挥基层立法联系点在立法工作中的民意直通车作用，广泛征求和收集基层群众的立法诉求、立法建议意见等，有效提高立法质量。2024年率先在5县开展试点工作</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EEAF9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2024年完成5个县基层立法点建设</w:t>
            </w:r>
          </w:p>
        </w:tc>
      </w:tr>
      <w:tr w14:paraId="5945A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C1C5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066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EED8E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2024年完成5个县基层立法点建设</w:t>
            </w:r>
          </w:p>
        </w:tc>
      </w:tr>
      <w:tr w14:paraId="7B7A3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F1D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9C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1A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69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29DF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FD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4B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11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07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42C65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02E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6C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74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80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0465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1C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29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CF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EA369">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21A6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F80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AA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E3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01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74AA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D1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B5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0D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71654">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B35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44E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9B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C3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EF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D5C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52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76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DE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4EDF4">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B7E4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DDB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77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01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B9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673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EB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4C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59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E0ECD">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F683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E7C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D5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3CB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E49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89898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111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C2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C1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DB17C">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273B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E87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6B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A4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CC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E7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8B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DD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86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50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2C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D9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6A396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C15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369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0F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61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建设基层立法联络点的数量</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97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70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CD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EAC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4E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72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187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324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48B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F5A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29F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CB3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立法质量</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0A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76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A3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FC7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03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AF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D8C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2E72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FF3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D1A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C37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92B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7B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89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立法质量高</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2B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12D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有效提高</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0E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79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A7E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6339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6FE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60E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C81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CD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支出合规性</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F9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65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C1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465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合规</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25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52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02E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F68E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433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453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93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5C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建成立法点完成时限</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99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8A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88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451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BE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63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5D1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06CD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0AC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15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E3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7C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提升基层群众立法诉求</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2C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F6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持续提升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BF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ACD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持续提升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3F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B3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16</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2DB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9BFE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D8E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E8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6F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B4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基层群众满意度</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3B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4C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5E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F42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1C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A8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521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3FB9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155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EDB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F98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62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立法点建设成本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53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1D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31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068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C3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A9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906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842F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5B0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22E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FE3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6F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立法点建设总成本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0E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8D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E2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97F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2D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97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335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3218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D78E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1E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D35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82</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81B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A15D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9A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FF893B">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7A4D9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2C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6DA14E">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000E6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85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65AEAB">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25A01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EE46E8">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4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410B48">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7BD2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4147960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nil"/>
              <w:left w:val="nil"/>
              <w:bottom w:val="nil"/>
              <w:right w:val="nil"/>
            </w:tcBorders>
            <w:shd w:val="clear" w:color="auto" w:fill="auto"/>
            <w:vAlign w:val="center"/>
          </w:tcPr>
          <w:p w14:paraId="156E00D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5" w:type="dxa"/>
            <w:tcBorders>
              <w:top w:val="nil"/>
              <w:left w:val="nil"/>
              <w:bottom w:val="nil"/>
              <w:right w:val="nil"/>
            </w:tcBorders>
            <w:shd w:val="clear" w:color="auto" w:fill="auto"/>
            <w:vAlign w:val="center"/>
          </w:tcPr>
          <w:p w14:paraId="5213976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22" w:type="dxa"/>
            <w:tcBorders>
              <w:top w:val="nil"/>
              <w:left w:val="nil"/>
              <w:bottom w:val="nil"/>
              <w:right w:val="nil"/>
            </w:tcBorders>
            <w:shd w:val="clear" w:color="auto" w:fill="auto"/>
            <w:vAlign w:val="center"/>
          </w:tcPr>
          <w:p w14:paraId="0058C1F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3886973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shd w:val="clear" w:color="auto" w:fill="auto"/>
            <w:vAlign w:val="center"/>
          </w:tcPr>
          <w:p w14:paraId="45F0921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4B6D5B3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6CC2E85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18FD2A3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2D57C4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22" w:type="dxa"/>
            <w:tcBorders>
              <w:top w:val="nil"/>
              <w:left w:val="nil"/>
              <w:bottom w:val="nil"/>
              <w:right w:val="nil"/>
            </w:tcBorders>
            <w:shd w:val="clear" w:color="auto" w:fill="auto"/>
            <w:vAlign w:val="center"/>
          </w:tcPr>
          <w:p w14:paraId="0C0A0EF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BFDC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56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A4145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76FB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6713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A576F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51320024T000010372288-机关办公楼1-5层卫生间翻新改造</w:t>
            </w:r>
          </w:p>
        </w:tc>
      </w:tr>
      <w:tr w14:paraId="6D5F3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7AB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C2520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2554E5E8">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5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69DD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75CF3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3B61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F60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143E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1408F5">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5172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5"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59FA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4B28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CFBEA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施工面积：约96㎡（其中：1楼约21㎡，2楼约9㎡，3楼约33㎡，4楼约33㎡），施工内容：拆除原卫生间墙面、地面瓷砖，拆除隔墙、防水层，拆出厕所门、蹲位隔断，拆除吊顶扣板，拆除给排水管，拆除蹲便器、小便池、拖把池、洗漱台，拆除灯具、电线、排气扇等。新建卫生间墙面、地面瓷砖、美缝，新建隔墙、防水层，新建隔断、门及门套，购买及安装蹲位隔断、吊顶扣板、给排水管、水龙头及配件、蹲便器、冲枪、小便池、拖把池、洗漱台、智能镜、纸盒、茶叶滤筒、百叶窗、灯具、电线、开关插座、排气扇、花洒、浴霸、垃圾桶、文明标识牌、门牌等。施工区域打围、场地环境保护措施、卫生清洁。</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45AAB6">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2025年按时完成机关办公楼1-5层卫生间翻新改造，达到预期效果，为改善机关办公环境提供了坚实保障。</w:t>
            </w:r>
          </w:p>
        </w:tc>
      </w:tr>
      <w:tr w14:paraId="3964E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3E0A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17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EE668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2025年按时完成机关办公楼1-5层卫生间翻新改造，完成施工面积96平方米。达到预期效果，为改善机关办公环境提供了坚实保障。</w:t>
            </w:r>
          </w:p>
        </w:tc>
      </w:tr>
      <w:tr w14:paraId="15EE5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B98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83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AE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53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B7C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D5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3C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F5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24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05F17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804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98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FE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49.00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1B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48.93</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76B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48.93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0A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CD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35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FF9E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1.预算执行率=100</w:t>
            </w:r>
          </w:p>
        </w:tc>
      </w:tr>
      <w:tr w14:paraId="2B6EC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685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1A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FE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49.00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A5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48.93</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64E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48.93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52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91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FA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EA23F">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74CC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E2B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CC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DD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6F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A5A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08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07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63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81380">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ED46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3D9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C3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15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5A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DF4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D1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3F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FE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D972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77A4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3BB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24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418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9CA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4FCC9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724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02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F7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A73C9">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D316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64F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C5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C6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40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0E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D1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E0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29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4C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7C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B9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1CD82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B34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7A8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05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00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施工面积</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6C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E6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E3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平方米</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68E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B2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B4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988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8FAC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EB2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42B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B7A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D7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支出合规性</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11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FD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66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508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合规</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21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0D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8FE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4833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71E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AE4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9E0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F5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验收合格率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44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62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77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636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70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1C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840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FEE5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281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90F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3A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DD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项目完成时限</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7E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CC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68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F69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3个月</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7D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78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982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8F9E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AF4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86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A5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5E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办公环境提升能更好的服务群众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47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6F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83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FB9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AC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3A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16</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5F4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ADBB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DBB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BC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35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1E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单位职工满意度</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BA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93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E8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64E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19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D0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52B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173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98F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A4C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DAC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7F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项目总成本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96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0D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B2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A12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C2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4A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49D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AA7B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F5E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B37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BDD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A6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项目改造成本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6A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E1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22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FF2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6C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02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A3A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BF85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6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0ED4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BE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502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81</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C5A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69B0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B9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B2E71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1DE02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28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3E1FC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6B1DB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38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AA8B6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7A4C5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B811F6">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4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1EC6E6">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1B7C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00F50DE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nil"/>
              <w:left w:val="nil"/>
              <w:bottom w:val="nil"/>
              <w:right w:val="nil"/>
            </w:tcBorders>
            <w:shd w:val="clear" w:color="auto" w:fill="auto"/>
            <w:vAlign w:val="center"/>
          </w:tcPr>
          <w:p w14:paraId="2D6BFCF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5" w:type="dxa"/>
            <w:tcBorders>
              <w:top w:val="nil"/>
              <w:left w:val="nil"/>
              <w:bottom w:val="nil"/>
              <w:right w:val="nil"/>
            </w:tcBorders>
            <w:shd w:val="clear" w:color="auto" w:fill="auto"/>
            <w:vAlign w:val="center"/>
          </w:tcPr>
          <w:p w14:paraId="1E58FE8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22" w:type="dxa"/>
            <w:tcBorders>
              <w:top w:val="nil"/>
              <w:left w:val="nil"/>
              <w:bottom w:val="nil"/>
              <w:right w:val="nil"/>
            </w:tcBorders>
            <w:shd w:val="clear" w:color="auto" w:fill="auto"/>
            <w:vAlign w:val="center"/>
          </w:tcPr>
          <w:p w14:paraId="57AFF8D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0308312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shd w:val="clear" w:color="auto" w:fill="auto"/>
            <w:vAlign w:val="center"/>
          </w:tcPr>
          <w:p w14:paraId="76F2ED8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42265F8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60D994E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6238A41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13A411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22" w:type="dxa"/>
            <w:tcBorders>
              <w:top w:val="nil"/>
              <w:left w:val="nil"/>
              <w:bottom w:val="nil"/>
              <w:right w:val="nil"/>
            </w:tcBorders>
            <w:shd w:val="clear" w:color="auto" w:fill="auto"/>
            <w:vAlign w:val="center"/>
          </w:tcPr>
          <w:p w14:paraId="268A54E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DD79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6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6B51E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C08E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6D91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97FC8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51320024T000010425862-人大预算联网监督平台系统升级费</w:t>
            </w:r>
          </w:p>
        </w:tc>
      </w:tr>
      <w:tr w14:paraId="1C74D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496A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80CA0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42B24C6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5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D16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73200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0902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DE07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68F5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7998E7">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B0F0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96DB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A08E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75353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根据《中共中央办公厅关于人大预算审查监督重点向支出预算和政策拓展改革的指导意见》《全国人大常委会办公厅关于“十四五”人大预算联网监督系统建设和使用发展规划建议》及进一步加强人大对国有资产监督、对地方债务监督的意见等精神，在预算联网监督系统一期建设基础上，建立国有资产管理监督、政府债务监督、审计问题整改监督、服务代表等系统功能以更好地适应新形势下人大预算审查监督工作的新要求。</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160FB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2025年按时完成人大预算联网监督平台系统升级，强化对政府债务限额、国有资产管理等方面审查监督，成功申报全省第二批预算联网监督示范点，推动建立人大监督和审计监督联动机制，有效提升财政资金使用管理水平。</w:t>
            </w:r>
          </w:p>
        </w:tc>
      </w:tr>
      <w:tr w14:paraId="2FCB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9DB2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011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EFDAD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2025年按时完成人大预算联网监督平台系统升级，强化对政府债务限额、国有资产管理等方面审查监督，成功申报全省第二批预算联网监督示范点，推动建立人大监督和审计监督联动机制，有效提升财政资金使用管理水平。</w:t>
            </w:r>
          </w:p>
        </w:tc>
      </w:tr>
      <w:tr w14:paraId="6279C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DC0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B0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D5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A2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52C7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CD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79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27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2D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155C2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43F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2B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75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28.00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FC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32.79</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D7D1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32.79</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CD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8E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6B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4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8E4F9">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1.预算执行率=100，中途追加以往年度存量资金49380元系预算联网监督平台软件开发质保金</w:t>
            </w:r>
          </w:p>
        </w:tc>
      </w:tr>
      <w:tr w14:paraId="0AC60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E91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60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D3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28.00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B0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32.79</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A2EB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32.79</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46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D3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23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12154">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8838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7C9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93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6C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03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177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49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ED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41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7DD79">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3FCB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588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D7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32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FB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067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46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48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E4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1D899">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6CA6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182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F0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57C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FE6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4C306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D98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60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61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5BF39">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8D22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0E6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B8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BF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45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3C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02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53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DF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35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F1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53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7D299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53D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89A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CB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E8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系统升级数量</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25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1A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77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套</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18C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C9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6E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887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B63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109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672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D8C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78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系统升级验收合格率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6D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18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44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5F1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28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A4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71E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0928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0C0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45F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603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D8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支出合规性</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0B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6C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55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23A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合规</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ED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6D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D44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DBE3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8B4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EBD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8C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0A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系统升级完成时间</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A5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31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80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50E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B3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EB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849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2FAC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93A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DF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BE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可持续发展指标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95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升级完成后使用年限</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E2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9F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C8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B73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8D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3F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4E1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B971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290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95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0F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78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系统使用人满意度</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3A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7B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6F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90A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19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AB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9F9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B5C9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E2B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F38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498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4E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系统升级总成本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38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5A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27.85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D1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391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32.79</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10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BB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6FE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中途追加以往年度存量资金49380元系预算联网监督平台软件开发质保金</w:t>
            </w:r>
          </w:p>
        </w:tc>
      </w:tr>
      <w:tr w14:paraId="05437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11D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81F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AB2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09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系统升级成本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05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EE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82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227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32.79</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5D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E2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74A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中途追加以往年度存量资金49380元系预算联网监督平台软件开发质保金</w:t>
            </w:r>
          </w:p>
        </w:tc>
      </w:tr>
      <w:tr w14:paraId="3499C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E789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78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0EC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81</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B57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CADE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40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B95CD3">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5A54E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84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08091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79B3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42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18AC0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2BFC5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17032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4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E6724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9026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61D04AE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nil"/>
              <w:left w:val="nil"/>
              <w:bottom w:val="nil"/>
              <w:right w:val="nil"/>
            </w:tcBorders>
            <w:shd w:val="clear" w:color="auto" w:fill="auto"/>
            <w:vAlign w:val="center"/>
          </w:tcPr>
          <w:p w14:paraId="6782109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5" w:type="dxa"/>
            <w:tcBorders>
              <w:top w:val="nil"/>
              <w:left w:val="nil"/>
              <w:bottom w:val="nil"/>
              <w:right w:val="nil"/>
            </w:tcBorders>
            <w:shd w:val="clear" w:color="auto" w:fill="auto"/>
            <w:vAlign w:val="center"/>
          </w:tcPr>
          <w:p w14:paraId="0278F4B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22" w:type="dxa"/>
            <w:tcBorders>
              <w:top w:val="nil"/>
              <w:left w:val="nil"/>
              <w:bottom w:val="nil"/>
              <w:right w:val="nil"/>
            </w:tcBorders>
            <w:shd w:val="clear" w:color="auto" w:fill="auto"/>
            <w:vAlign w:val="center"/>
          </w:tcPr>
          <w:p w14:paraId="0F7ABCB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4986796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shd w:val="clear" w:color="auto" w:fill="auto"/>
            <w:vAlign w:val="center"/>
          </w:tcPr>
          <w:p w14:paraId="2A9912F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75C2CA8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1301955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5CC852F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432C2A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22" w:type="dxa"/>
            <w:tcBorders>
              <w:top w:val="nil"/>
              <w:left w:val="nil"/>
              <w:bottom w:val="nil"/>
              <w:right w:val="nil"/>
            </w:tcBorders>
            <w:shd w:val="clear" w:color="auto" w:fill="auto"/>
            <w:vAlign w:val="center"/>
          </w:tcPr>
          <w:p w14:paraId="7CFB4C6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99CF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56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211ED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AA0F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8A7B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E54A4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51320024T000010568161-阿坝州人大视频会议系统建设</w:t>
            </w:r>
          </w:p>
        </w:tc>
      </w:tr>
      <w:tr w14:paraId="7F963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F054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B8AFB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68B56F64">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5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CAF5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69D6F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6466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CA3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BDB7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AB02B7">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0CB0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CDD0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0ADB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D6577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为积极响应和配合四川省人大常委会办公厅文件要求，协同推进四川省“数字人大”融合平台建设。</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A50FC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2025年按时完成机关办公楼5楼3会议室升级改造为视频会议室。</w:t>
            </w:r>
          </w:p>
        </w:tc>
      </w:tr>
      <w:tr w14:paraId="63AED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6DCB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414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70311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2025年按时完成机关办公楼5楼3会议室升级改造为视频会议室。</w:t>
            </w:r>
          </w:p>
        </w:tc>
      </w:tr>
      <w:tr w14:paraId="18A18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F82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B6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A7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E6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F2B5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00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2E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EC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B9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41B82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308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65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74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44.80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6C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37.04</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8214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37.04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90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5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BF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9A10A">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1.预算执行率=100</w:t>
            </w:r>
          </w:p>
        </w:tc>
      </w:tr>
      <w:tr w14:paraId="7B6C0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F20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AE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00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44.80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29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37.04</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2CF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37.04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07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88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04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477D1">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806E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5AA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DB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41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0F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C0E0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03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92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CB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84FB6">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1FA6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D01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42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2E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14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02E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07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0E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0D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42509">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C9AF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FC8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6C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7EB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AD2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C0A9A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D5E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34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90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A91A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BA9D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48A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E1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93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3F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D1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1D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48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11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D6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12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9A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652E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B28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7A4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D3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A6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视屏会议系统</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75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DC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47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套</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735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47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78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710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7D2D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CA1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1EB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CB9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03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设备验收合格率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F6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F3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81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B8C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04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10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695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7BD7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D51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0DE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3BE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3D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支出合规性</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19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07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33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650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合规</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71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20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528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3A63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139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029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F84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61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合格率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FF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54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A8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5FA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E0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6C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D25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7E31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99C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63F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96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49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完成时限</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93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C2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E8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647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DA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6B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300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581A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152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14E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87F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可持续发展指标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CC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平台使用年限</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BE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72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7A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BEF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EA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F1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307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0B3F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A8A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177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8AA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CA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持续发展</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A7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39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AD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3CD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7C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3C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DAA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36A5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4D7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92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AB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F0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受益对象满意度</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6B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AA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8C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E56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DE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60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5D1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3F46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47B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85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7E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3A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视屏会议系统建设成本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F1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B0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86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1F2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37</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38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15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047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C97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8F21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58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4E7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81</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7FF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7395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BE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114C33">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4A86A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B4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306A5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34786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6E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68654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076D6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A1762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4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8E1A4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FECC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19E9736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nil"/>
              <w:left w:val="nil"/>
              <w:bottom w:val="nil"/>
              <w:right w:val="nil"/>
            </w:tcBorders>
            <w:shd w:val="clear" w:color="auto" w:fill="auto"/>
            <w:vAlign w:val="center"/>
          </w:tcPr>
          <w:p w14:paraId="2BD9CE7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5" w:type="dxa"/>
            <w:tcBorders>
              <w:top w:val="nil"/>
              <w:left w:val="nil"/>
              <w:bottom w:val="nil"/>
              <w:right w:val="nil"/>
            </w:tcBorders>
            <w:shd w:val="clear" w:color="auto" w:fill="auto"/>
            <w:vAlign w:val="center"/>
          </w:tcPr>
          <w:p w14:paraId="379EC71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22" w:type="dxa"/>
            <w:tcBorders>
              <w:top w:val="nil"/>
              <w:left w:val="nil"/>
              <w:bottom w:val="nil"/>
              <w:right w:val="nil"/>
            </w:tcBorders>
            <w:shd w:val="clear" w:color="auto" w:fill="auto"/>
            <w:vAlign w:val="center"/>
          </w:tcPr>
          <w:p w14:paraId="2A1D432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66790EE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shd w:val="clear" w:color="auto" w:fill="auto"/>
            <w:vAlign w:val="center"/>
          </w:tcPr>
          <w:p w14:paraId="2EA27D4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66E19E9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1F48AC7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6304C24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8588FC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22" w:type="dxa"/>
            <w:tcBorders>
              <w:top w:val="nil"/>
              <w:left w:val="nil"/>
              <w:bottom w:val="nil"/>
              <w:right w:val="nil"/>
            </w:tcBorders>
            <w:shd w:val="clear" w:color="auto" w:fill="auto"/>
            <w:vAlign w:val="center"/>
          </w:tcPr>
          <w:p w14:paraId="6C80465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E8D4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6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5394F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F5F3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40BF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F2CBC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51320024T000010846638-购买办公用品</w:t>
            </w:r>
          </w:p>
        </w:tc>
      </w:tr>
      <w:tr w14:paraId="3830F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5E2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BA005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609AA09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5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9789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7A84A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1809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9E21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3C57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09F943">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C9D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95CE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585F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AE58C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保障机关工作正常运转，提升单位工作效率。2024年拟购置电脑配套打印机5台2万元，华为笔记本电脑11台11万元，彩色打印机机1台0.5万元，3P空调6台6万元。</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E6B42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2025年按程序按时完成机关打印机和空调的采购工作</w:t>
            </w:r>
          </w:p>
        </w:tc>
      </w:tr>
      <w:tr w14:paraId="3C3BB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B316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9E1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D2263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2025年按程序按时完成机关打印机1台和11台空调的采购工作</w:t>
            </w:r>
          </w:p>
        </w:tc>
      </w:tr>
      <w:tr w14:paraId="12B1F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1FC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36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FD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36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382A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CC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F8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CA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5E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18CFD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118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6A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0A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18.90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99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6.15</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CD3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6.15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1C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51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9E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w:t>
            </w:r>
          </w:p>
        </w:tc>
        <w:tc>
          <w:tcPr>
            <w:tcW w:w="4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F367A">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1.预算执行率=100，按安可办要求电脑不予采购。</w:t>
            </w:r>
          </w:p>
        </w:tc>
      </w:tr>
      <w:tr w14:paraId="62EFE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FEF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67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D9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18.90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0F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6.15</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07FC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6.15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76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C2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BD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0F720">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50CB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8C9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6D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B7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F6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0B31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80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4D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8F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6A7C1">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54A8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1B7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6C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95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D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9AB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D7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A1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C1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7FFAA">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6043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6A9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DA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0AF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BF5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944B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F29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C8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31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F6674">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D73A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313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1A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B3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1E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74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2E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12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BF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CD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C0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0F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07679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DEC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A1E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0E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82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采购数量</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0E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BF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DE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874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CF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3E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0D0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按安可办要求电脑不予采购。</w:t>
            </w:r>
          </w:p>
        </w:tc>
      </w:tr>
      <w:tr w14:paraId="47875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8EE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8FA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965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A9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支出合规性</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6B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3D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34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85F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合规</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6B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CA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D78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434D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EB0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2D2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CA5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B6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采购办公用品合格率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7E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94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FF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0A3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4B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74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E28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B240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A85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226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B7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8D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年度采购完成时限</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E5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A6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57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0ED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7C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58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904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A542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8AC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4A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7D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可持续影响指标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CB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设备使用年限</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FD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2B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E2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156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E9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48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208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5CFD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720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DA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8D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CE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设备使用人满意度</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FD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2C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AF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9F6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41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71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245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31CB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374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985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D49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78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采购完成成本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04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88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BE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A13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05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E0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CBC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按安可办要求电脑不予采购。</w:t>
            </w:r>
          </w:p>
        </w:tc>
      </w:tr>
      <w:tr w14:paraId="37D8F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2C9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F64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6F6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DD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办公用品购置成本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40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C7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18.7</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B6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7CE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55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F6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010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按安可办要求电脑不予采购。</w:t>
            </w:r>
          </w:p>
        </w:tc>
      </w:tr>
      <w:tr w14:paraId="709AE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5FAB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AB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951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78</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174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430F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56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F62132">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2092C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58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599646">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0BFC5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C0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CBC1E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6F56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235FE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4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823959">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50CA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5902AC7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nil"/>
              <w:left w:val="nil"/>
              <w:bottom w:val="nil"/>
              <w:right w:val="nil"/>
            </w:tcBorders>
            <w:shd w:val="clear" w:color="auto" w:fill="auto"/>
            <w:vAlign w:val="center"/>
          </w:tcPr>
          <w:p w14:paraId="660C171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5" w:type="dxa"/>
            <w:tcBorders>
              <w:top w:val="nil"/>
              <w:left w:val="nil"/>
              <w:bottom w:val="nil"/>
              <w:right w:val="nil"/>
            </w:tcBorders>
            <w:shd w:val="clear" w:color="auto" w:fill="auto"/>
            <w:vAlign w:val="center"/>
          </w:tcPr>
          <w:p w14:paraId="7D7CB76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22" w:type="dxa"/>
            <w:tcBorders>
              <w:top w:val="nil"/>
              <w:left w:val="nil"/>
              <w:bottom w:val="nil"/>
              <w:right w:val="nil"/>
            </w:tcBorders>
            <w:shd w:val="clear" w:color="auto" w:fill="auto"/>
            <w:vAlign w:val="center"/>
          </w:tcPr>
          <w:p w14:paraId="0BDCC6C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0C1A6E8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shd w:val="clear" w:color="auto" w:fill="auto"/>
            <w:vAlign w:val="center"/>
          </w:tcPr>
          <w:p w14:paraId="7847741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178C7DD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38C8453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18CFF23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C6B815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22" w:type="dxa"/>
            <w:tcBorders>
              <w:top w:val="nil"/>
              <w:left w:val="nil"/>
              <w:bottom w:val="nil"/>
              <w:right w:val="nil"/>
            </w:tcBorders>
            <w:shd w:val="clear" w:color="auto" w:fill="auto"/>
            <w:vAlign w:val="center"/>
          </w:tcPr>
          <w:p w14:paraId="673FCAE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9990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6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DA9FF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AC7C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E59C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B32A4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51320024T000010959088-机关办公楼线路改造安装工程</w:t>
            </w:r>
          </w:p>
        </w:tc>
      </w:tr>
      <w:tr w14:paraId="2A8DA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075B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171A8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670F4A8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5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1FF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556B6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8717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92E8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85FE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21DA2D">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7B9E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0CDA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B904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09716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机关办公楼线路老化年久失修，在冬季用电高峰期频繁停电严重影响常委会及人代会的召开以及机关正常工作。拟2024年将全机关办公楼线路全面改造及变压器等安装（新建电缆线270米、电缆终端头4个、变压器1座、电缆分支箱2座、电缆手孔井2座）。在对办公楼的电路进行改造,提升电力系统的效率和安全性。通过改造电路布线,更新设备和管理系统,实现以下目标:优化电能利用效率,降低能耗提高电力系统的安全性和可靠性减少能源，与部门的长期规划目标、年度工作目标相一致。</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C42E93">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2025年按程序按时完成机关办公楼线路改造安装工程，（新建电缆线270米、电缆终端头4个、变压器1座、电缆分支箱2座、电缆手孔井2座）在对办公楼的电路进行改造,提升电力系统的效率和安全性。通过改造电路布线,更新设备和管理系统,实现以下目标:优化电能利用效率,降低能耗提高电力系统的安全性和可靠性减少能源，</w:t>
            </w:r>
          </w:p>
        </w:tc>
      </w:tr>
      <w:tr w14:paraId="40DA3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F2EE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3A2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A0A2E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2025年按程序按时完成机关办公楼线路改造安装工程，（新建电缆线270米、电缆终端头4个、变压器1座、电缆分支箱2座、电缆手孔井2座）在对办公楼的电路进行改造,提升电力系统的效率和安全性。通过改造电路布线,更新设备和管理系统,实现以下目标:优化电能利用效率,降低能耗提高电力系统的安全性和可靠性减少能源，</w:t>
            </w:r>
          </w:p>
        </w:tc>
      </w:tr>
      <w:tr w14:paraId="37ADB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2D5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8D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E9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98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AED2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F3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6C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2A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38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2A07F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AD8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CD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FB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58.30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42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45.50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659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45.50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53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3E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A6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7.8</w:t>
            </w:r>
          </w:p>
        </w:tc>
        <w:tc>
          <w:tcPr>
            <w:tcW w:w="4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81263">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1.预算执行率=100，厉行节约压减经费</w:t>
            </w:r>
          </w:p>
        </w:tc>
      </w:tr>
      <w:tr w14:paraId="06255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D0A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B8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24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58.30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6E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45.50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B17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45.50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70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45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2D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743B1">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E4D9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793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C9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15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DE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E56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3A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AE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39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CCCF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53BA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16F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98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5B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9E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0CA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65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A9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88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44FB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65C3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E56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06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267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8E1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E4F88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B45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F6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B5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11D53">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3609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169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A0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4E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68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79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98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9A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BA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F3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47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CD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540AB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E31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AB6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B8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5A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项目数量</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1D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0E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73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88D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9D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EF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9A3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F69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68C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567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AE4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06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项目工程验收合格率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EF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D5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44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D62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F5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23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D63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6C53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18C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EBA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C23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6A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支出合规性</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C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7A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AD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472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合规</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22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6D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B39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2B66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0CA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71F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FD2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2D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项目完成时限，截止在2024年12月31日前完成</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AB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9E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79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C88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DB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30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9B5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F583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319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FE9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765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C4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项目完成时限</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64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0D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截止2024年12月31日前完成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B4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A59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68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BA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A73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4DC0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688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F3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0B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33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机关办公条件得到提升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5C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47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持续提升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FB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幅</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4F0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持续提升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08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86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869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B406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AAA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C2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F8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01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单位职工满意度</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B4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B9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F2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A02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33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73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635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FED8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4EA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A1D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E26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8A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线路改造成本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84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24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58.3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39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949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28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B8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053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BC54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C1F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ACD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8C7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16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项目控制成本</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56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3D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B4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125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98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52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E5C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118F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CF6A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60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1AC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81</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90A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6237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01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827BE2">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19268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7C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AF507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4881C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68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0A5A02">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3D7F7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3478E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4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34D14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9AE9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tcBorders>
              <w:top w:val="nil"/>
              <w:left w:val="nil"/>
              <w:bottom w:val="nil"/>
              <w:right w:val="nil"/>
            </w:tcBorders>
            <w:shd w:val="clear" w:color="auto" w:fill="auto"/>
            <w:vAlign w:val="center"/>
          </w:tcPr>
          <w:p w14:paraId="286122D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nil"/>
              <w:left w:val="nil"/>
              <w:bottom w:val="nil"/>
              <w:right w:val="nil"/>
            </w:tcBorders>
            <w:shd w:val="clear" w:color="auto" w:fill="auto"/>
            <w:vAlign w:val="center"/>
          </w:tcPr>
          <w:p w14:paraId="77FEAE3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5" w:type="dxa"/>
            <w:tcBorders>
              <w:top w:val="nil"/>
              <w:left w:val="nil"/>
              <w:bottom w:val="nil"/>
              <w:right w:val="nil"/>
            </w:tcBorders>
            <w:shd w:val="clear" w:color="auto" w:fill="auto"/>
            <w:vAlign w:val="center"/>
          </w:tcPr>
          <w:p w14:paraId="6BC8B44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22" w:type="dxa"/>
            <w:tcBorders>
              <w:top w:val="nil"/>
              <w:left w:val="nil"/>
              <w:bottom w:val="nil"/>
              <w:right w:val="nil"/>
            </w:tcBorders>
            <w:shd w:val="clear" w:color="auto" w:fill="auto"/>
            <w:vAlign w:val="center"/>
          </w:tcPr>
          <w:p w14:paraId="5BF0023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0E07E0B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37" w:type="dxa"/>
            <w:tcBorders>
              <w:top w:val="nil"/>
              <w:left w:val="nil"/>
              <w:bottom w:val="nil"/>
              <w:right w:val="nil"/>
            </w:tcBorders>
            <w:shd w:val="clear" w:color="auto" w:fill="auto"/>
            <w:vAlign w:val="center"/>
          </w:tcPr>
          <w:p w14:paraId="39B9074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21BF4B1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49F5115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77AA68C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9C3EF4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22" w:type="dxa"/>
            <w:tcBorders>
              <w:top w:val="nil"/>
              <w:left w:val="nil"/>
              <w:bottom w:val="nil"/>
              <w:right w:val="nil"/>
            </w:tcBorders>
            <w:shd w:val="clear" w:color="auto" w:fill="auto"/>
            <w:vAlign w:val="center"/>
          </w:tcPr>
          <w:p w14:paraId="43C13B0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ED0A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6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B1B36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4CE1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29B7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68439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51320025Y000012357409-追加州级部门公务用车更新、购置经费</w:t>
            </w:r>
          </w:p>
        </w:tc>
      </w:tr>
      <w:tr w14:paraId="08B07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0474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C6D67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4864D1E8">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5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FB87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4B40D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42B1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8D0A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571D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02030B">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45B4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196B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A2AA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CDFBD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提高预算编制质量，严格执行预算，保障单位日常运转</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B3A3E6">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2025年按程序按时完成2辆公务用车采购</w:t>
            </w:r>
          </w:p>
        </w:tc>
      </w:tr>
      <w:tr w14:paraId="3FC55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98A2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DF4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9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8F46D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2025年按程序按时完成2辆公务用车采购</w:t>
            </w:r>
          </w:p>
        </w:tc>
      </w:tr>
      <w:tr w14:paraId="10511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272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C7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11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BD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C31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63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36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4D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EE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2F795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4C2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1F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0B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35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119.60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BDB4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119.60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3D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AA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1E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47D1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10C3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0E2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60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49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99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119.60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650E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119.60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50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4E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76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A74F0">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5DC2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B0C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08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64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8E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9CD1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24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C9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17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AF6B6">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B29B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289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69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8D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76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C3C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E5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6E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85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23385">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2F51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512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C7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35F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1A7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25291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7E4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7D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FE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251B5">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D56E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CF3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9C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BD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AB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84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9D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97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2E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D4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90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4C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7BD3C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31A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99F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4B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B6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科目调整次数</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A1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54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A7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379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D0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45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345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E693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4CA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AFA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A6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8C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预算编制准确率（计算方法为：∣（执行数-预算数）/预算数∣）</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37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83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93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E82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17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1D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6C6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445A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822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1AA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60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CC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75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98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B6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D8F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1E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E5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F04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446A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2D4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ADE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35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DA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运转保障率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DA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5A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C4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0F8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E6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12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FC4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2AD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71EF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63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0A9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80</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D36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604A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19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03BC53">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4CF4A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EE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BD998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1CB29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D2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C47C3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199E5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9507C6">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4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58C5A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7F4C3CEA">
      <w:pPr>
        <w:rPr>
          <w:rFonts w:hint="eastAsia"/>
          <w:lang w:val="en-US" w:eastAsia="zh-CN"/>
        </w:rPr>
        <w:sectPr>
          <w:pgSz w:w="16838" w:h="11906" w:orient="landscape"/>
          <w:pgMar w:top="567" w:right="567" w:bottom="567" w:left="567" w:header="720" w:footer="720" w:gutter="0"/>
          <w:pgNumType w:fmt="decimal"/>
          <w:cols w:space="0" w:num="1"/>
          <w:rtlGutter w:val="0"/>
          <w:docGrid w:type="lines" w:linePitch="312" w:charSpace="0"/>
        </w:sectPr>
      </w:pPr>
    </w:p>
    <w:p w14:paraId="1BF6BDE6">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0"/>
          <w:rFonts w:hint="eastAsia" w:ascii="黑体" w:hAnsi="黑体" w:eastAsia="黑体"/>
          <w:b w:val="0"/>
          <w:color w:val="auto"/>
          <w:highlight w:val="none"/>
        </w:rPr>
        <w:t>五部分 附表</w:t>
      </w:r>
    </w:p>
    <w:p w14:paraId="74E9602B">
      <w:pPr>
        <w:pStyle w:val="3"/>
        <w:bidi w:val="0"/>
        <w:rPr>
          <w:rFonts w:hint="eastAsia"/>
          <w:b w:val="0"/>
          <w:bCs w:val="0"/>
        </w:rPr>
      </w:pPr>
      <w:r>
        <w:rPr>
          <w:rFonts w:hint="eastAsia"/>
          <w:b w:val="0"/>
          <w:bCs w:val="0"/>
        </w:rPr>
        <w:t>一、收入支出决算总表</w:t>
      </w:r>
    </w:p>
    <w:p w14:paraId="13EDBD09">
      <w:pPr>
        <w:pStyle w:val="3"/>
        <w:bidi w:val="0"/>
        <w:rPr>
          <w:rFonts w:hint="eastAsia"/>
          <w:b w:val="0"/>
          <w:bCs w:val="0"/>
        </w:rPr>
      </w:pPr>
      <w:r>
        <w:rPr>
          <w:rFonts w:hint="eastAsia"/>
          <w:b w:val="0"/>
          <w:bCs w:val="0"/>
        </w:rPr>
        <w:t>二、收入决算表</w:t>
      </w:r>
    </w:p>
    <w:p w14:paraId="5146EF37">
      <w:pPr>
        <w:pStyle w:val="3"/>
        <w:bidi w:val="0"/>
        <w:rPr>
          <w:rFonts w:hint="eastAsia"/>
          <w:b w:val="0"/>
          <w:bCs w:val="0"/>
        </w:rPr>
      </w:pPr>
      <w:r>
        <w:rPr>
          <w:rFonts w:hint="eastAsia"/>
          <w:b w:val="0"/>
          <w:bCs w:val="0"/>
        </w:rPr>
        <w:t>三、支出决算表</w:t>
      </w:r>
    </w:p>
    <w:p w14:paraId="495FF737">
      <w:pPr>
        <w:pStyle w:val="3"/>
        <w:bidi w:val="0"/>
        <w:rPr>
          <w:rFonts w:hint="eastAsia"/>
          <w:b w:val="0"/>
          <w:bCs w:val="0"/>
        </w:rPr>
      </w:pPr>
      <w:r>
        <w:rPr>
          <w:rFonts w:hint="eastAsia"/>
          <w:b w:val="0"/>
          <w:bCs w:val="0"/>
        </w:rPr>
        <w:t>四、财政拨款收入支出决算总表</w:t>
      </w:r>
    </w:p>
    <w:p w14:paraId="43441E22">
      <w:pPr>
        <w:pStyle w:val="3"/>
        <w:bidi w:val="0"/>
        <w:rPr>
          <w:rFonts w:hint="eastAsia"/>
          <w:b w:val="0"/>
          <w:bCs w:val="0"/>
        </w:rPr>
      </w:pPr>
      <w:r>
        <w:rPr>
          <w:rFonts w:hint="eastAsia"/>
          <w:b w:val="0"/>
          <w:bCs w:val="0"/>
        </w:rPr>
        <w:t>五、财政拨款支出决算明细表</w:t>
      </w:r>
    </w:p>
    <w:p w14:paraId="023D21FB">
      <w:pPr>
        <w:pStyle w:val="3"/>
        <w:bidi w:val="0"/>
        <w:rPr>
          <w:rFonts w:hint="eastAsia"/>
          <w:b w:val="0"/>
          <w:bCs w:val="0"/>
        </w:rPr>
      </w:pPr>
      <w:r>
        <w:rPr>
          <w:rFonts w:hint="eastAsia"/>
          <w:b w:val="0"/>
          <w:bCs w:val="0"/>
        </w:rPr>
        <w:t>六、一般公共预算财政拨款支出决算表</w:t>
      </w:r>
    </w:p>
    <w:p w14:paraId="69B28A5F">
      <w:pPr>
        <w:pStyle w:val="3"/>
        <w:bidi w:val="0"/>
        <w:rPr>
          <w:rFonts w:hint="eastAsia"/>
          <w:b w:val="0"/>
          <w:bCs w:val="0"/>
        </w:rPr>
      </w:pPr>
      <w:r>
        <w:rPr>
          <w:rFonts w:hint="eastAsia"/>
          <w:b w:val="0"/>
          <w:bCs w:val="0"/>
        </w:rPr>
        <w:t>七、一般公共预算财政拨款支出决算明细表</w:t>
      </w:r>
    </w:p>
    <w:p w14:paraId="53F5E568">
      <w:pPr>
        <w:pStyle w:val="3"/>
        <w:bidi w:val="0"/>
        <w:rPr>
          <w:rFonts w:hint="eastAsia"/>
          <w:b w:val="0"/>
          <w:bCs w:val="0"/>
        </w:rPr>
      </w:pPr>
      <w:r>
        <w:rPr>
          <w:rFonts w:hint="eastAsia"/>
          <w:b w:val="0"/>
          <w:bCs w:val="0"/>
        </w:rPr>
        <w:t>八、一般公共预算财政拨款基本支出决算表</w:t>
      </w:r>
    </w:p>
    <w:p w14:paraId="1CD29EFD">
      <w:pPr>
        <w:pStyle w:val="3"/>
        <w:bidi w:val="0"/>
        <w:rPr>
          <w:rFonts w:hint="eastAsia"/>
          <w:b w:val="0"/>
          <w:bCs w:val="0"/>
        </w:rPr>
      </w:pPr>
      <w:r>
        <w:rPr>
          <w:rFonts w:hint="eastAsia"/>
          <w:b w:val="0"/>
          <w:bCs w:val="0"/>
        </w:rPr>
        <w:t>九、一般公共预算财政拨款项目支出决算表</w:t>
      </w:r>
    </w:p>
    <w:p w14:paraId="24936AED">
      <w:pPr>
        <w:pStyle w:val="3"/>
        <w:bidi w:val="0"/>
        <w:rPr>
          <w:rFonts w:hint="eastAsia"/>
          <w:b w:val="0"/>
          <w:bCs w:val="0"/>
        </w:rPr>
      </w:pPr>
      <w:r>
        <w:rPr>
          <w:rFonts w:hint="eastAsia"/>
          <w:b w:val="0"/>
          <w:bCs w:val="0"/>
        </w:rPr>
        <w:t>十、政府性基金预算财政拨款收入支出决算表</w:t>
      </w:r>
    </w:p>
    <w:p w14:paraId="5487C005">
      <w:pPr>
        <w:pStyle w:val="3"/>
        <w:bidi w:val="0"/>
        <w:rPr>
          <w:rFonts w:hint="eastAsia"/>
          <w:b w:val="0"/>
          <w:bCs w:val="0"/>
        </w:rPr>
      </w:pPr>
      <w:r>
        <w:rPr>
          <w:rFonts w:hint="eastAsia"/>
          <w:b w:val="0"/>
          <w:bCs w:val="0"/>
        </w:rPr>
        <w:t>十一、国有资本经营预算</w:t>
      </w:r>
      <w:r>
        <w:rPr>
          <w:rFonts w:hint="eastAsia"/>
          <w:b w:val="0"/>
          <w:bCs w:val="0"/>
          <w:lang w:eastAsia="zh-CN"/>
        </w:rPr>
        <w:t>财政拨款收入</w:t>
      </w:r>
      <w:r>
        <w:rPr>
          <w:rFonts w:hint="eastAsia"/>
          <w:b w:val="0"/>
          <w:bCs w:val="0"/>
        </w:rPr>
        <w:t>支出决算表</w:t>
      </w:r>
    </w:p>
    <w:p w14:paraId="0ACDBB05">
      <w:pPr>
        <w:pStyle w:val="3"/>
        <w:keepNext/>
        <w:keepLines/>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lang w:val="en-US" w:eastAsia="zh-CN"/>
        </w:rPr>
      </w:pPr>
      <w:r>
        <w:rPr>
          <w:rFonts w:hint="eastAsia" w:ascii="宋体" w:hAnsi="宋体" w:eastAsia="宋体" w:cs="宋体"/>
          <w:b w:val="0"/>
          <w:lang w:val="en-US" w:eastAsia="zh-CN"/>
        </w:rPr>
        <w:t>十二、国有资本经营预算财政拨款支出决算表</w:t>
      </w:r>
    </w:p>
    <w:p w14:paraId="02E2DB51">
      <w:pPr>
        <w:pStyle w:val="3"/>
        <w:keepNext/>
        <w:keepLines/>
        <w:pageBreakBefore w:val="0"/>
        <w:widowControl w:val="0"/>
        <w:suppressAutoHyphens/>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宋体" w:hAnsi="宋体" w:eastAsia="宋体" w:cs="宋体"/>
          <w:b w:val="0"/>
          <w:lang w:val="en-US" w:eastAsia="zh-CN"/>
        </w:rPr>
        <w:t>十三、财政拨款“三公”经费支出决算</w:t>
      </w:r>
    </w:p>
    <w:p w14:paraId="247D6252">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olor w:val="auto"/>
          <w:sz w:val="44"/>
          <w:szCs w:val="44"/>
          <w:highlight w:val="none"/>
          <w:lang w:eastAsia="zh-CN"/>
        </w:rPr>
      </w:pPr>
    </w:p>
    <w:sectPr>
      <w:pgSz w:w="11906" w:h="16838"/>
      <w:pgMar w:top="1440" w:right="1803" w:bottom="1440" w:left="1803" w:header="720" w:footer="72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iberation Sans">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Noto Sans CJK SC Regular">
    <w:altName w:val="宋体"/>
    <w:panose1 w:val="020B0500000000000000"/>
    <w:charset w:val="86"/>
    <w:family w:val="auto"/>
    <w:pitch w:val="default"/>
    <w:sig w:usb0="00000000" w:usb1="00000000" w:usb2="00000016" w:usb3="00000000" w:csb0="602E0107" w:csb1="00000000"/>
  </w:font>
  <w:font w:name="方正楷体_GBK">
    <w:panose1 w:val="03000509000000000000"/>
    <w:charset w:val="86"/>
    <w:family w:val="script"/>
    <w:pitch w:val="default"/>
    <w:sig w:usb0="00000001" w:usb1="080E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1CCBD">
    <w:pPr>
      <w:pStyle w:val="8"/>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6FE97">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64B6FE97">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78341">
    <w:pPr>
      <w:pStyle w:val="8"/>
      <w:rPr>
        <w:rFonts w:hint="eastAsia" w:eastAsia="宋体"/>
        <w:lang w:val="en-US" w:eastAsia="zh-CN"/>
      </w:rPr>
    </w:pPr>
  </w:p>
  <w:p w14:paraId="6DCB66B2">
    <w:pPr>
      <w:pStyle w:val="8"/>
      <w:rPr>
        <w:rFonts w:hint="eastAsia" w:eastAsia="宋体"/>
        <w:lang w:val="en-US" w:eastAsia="zh-CN"/>
      </w:rPr>
    </w:pPr>
  </w:p>
  <w:p w14:paraId="5F1AFCCE">
    <w:pPr>
      <w:pStyle w:val="8"/>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052FB">
                          <w:pPr>
                            <w:pStyle w:val="8"/>
                          </w:pPr>
                          <w:r>
                            <w:fldChar w:fldCharType="begin"/>
                          </w:r>
                          <w:r>
                            <w:instrText xml:space="preserve"> PAGE  \* MERGEFORMAT </w:instrText>
                          </w:r>
                          <w:r>
                            <w:fldChar w:fldCharType="separate"/>
                          </w:r>
                          <w:r>
                            <w:t>1</w:t>
                          </w:r>
                          <w:r>
                            <w:fldChar w:fldCharType="end"/>
                          </w:r>
                        </w:p>
                        <w:p w14:paraId="0FF7B402">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1C052FB">
                    <w:pPr>
                      <w:pStyle w:val="8"/>
                    </w:pPr>
                    <w:r>
                      <w:fldChar w:fldCharType="begin"/>
                    </w:r>
                    <w:r>
                      <w:instrText xml:space="preserve"> PAGE  \* MERGEFORMAT </w:instrText>
                    </w:r>
                    <w:r>
                      <w:fldChar w:fldCharType="separate"/>
                    </w:r>
                    <w:r>
                      <w:t>1</w:t>
                    </w:r>
                    <w:r>
                      <w:fldChar w:fldCharType="end"/>
                    </w:r>
                  </w:p>
                  <w:p w14:paraId="0FF7B402">
                    <w:pPr>
                      <w:pStyle w:val="8"/>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396E4">
    <w:pPr>
      <w:pStyle w:val="8"/>
      <w:rPr>
        <w:rFonts w:hint="eastAsia"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82FA8">
                          <w:pPr>
                            <w:pStyle w:val="8"/>
                          </w:pPr>
                          <w:r>
                            <w:fldChar w:fldCharType="begin"/>
                          </w:r>
                          <w:r>
                            <w:instrText xml:space="preserve"> PAGE  \* MERGEFORMAT </w:instrText>
                          </w:r>
                          <w:r>
                            <w:fldChar w:fldCharType="separate"/>
                          </w:r>
                          <w:r>
                            <w:t>1</w:t>
                          </w:r>
                          <w:r>
                            <w:fldChar w:fldCharType="end"/>
                          </w:r>
                        </w:p>
                        <w:p w14:paraId="1F9E434D">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C782FA8">
                    <w:pPr>
                      <w:pStyle w:val="8"/>
                    </w:pPr>
                    <w:r>
                      <w:fldChar w:fldCharType="begin"/>
                    </w:r>
                    <w:r>
                      <w:instrText xml:space="preserve"> PAGE  \* MERGEFORMAT </w:instrText>
                    </w:r>
                    <w:r>
                      <w:fldChar w:fldCharType="separate"/>
                    </w:r>
                    <w:r>
                      <w:t>1</w:t>
                    </w:r>
                    <w:r>
                      <w:fldChar w:fldCharType="end"/>
                    </w:r>
                  </w:p>
                  <w:p w14:paraId="1F9E434D">
                    <w:pPr>
                      <w:pStyle w:val="8"/>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B5348"/>
    <w:multiLevelType w:val="singleLevel"/>
    <w:tmpl w:val="BD6B5348"/>
    <w:lvl w:ilvl="0" w:tentative="0">
      <w:start w:val="4"/>
      <w:numFmt w:val="chineseCounting"/>
      <w:suff w:val="space"/>
      <w:lvlText w:val="第%1部分"/>
      <w:lvlJc w:val="left"/>
      <w:rPr>
        <w:rFonts w:hint="eastAsia"/>
      </w:rPr>
    </w:lvl>
  </w:abstractNum>
  <w:abstractNum w:abstractNumId="1">
    <w:nsid w:val="3818A09A"/>
    <w:multiLevelType w:val="singleLevel"/>
    <w:tmpl w:val="3818A09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YWRjOWRlY2M3NDZlZDQ4NTIyNWI4MWQ5Y2MwYTIifQ=="/>
  </w:docVars>
  <w:rsids>
    <w:rsidRoot w:val="00000000"/>
    <w:rsid w:val="00346E43"/>
    <w:rsid w:val="00DA5C53"/>
    <w:rsid w:val="031511C4"/>
    <w:rsid w:val="03C9742C"/>
    <w:rsid w:val="05DC421B"/>
    <w:rsid w:val="063302DF"/>
    <w:rsid w:val="06447B94"/>
    <w:rsid w:val="06710E08"/>
    <w:rsid w:val="0A715781"/>
    <w:rsid w:val="0D836DC8"/>
    <w:rsid w:val="0DA25AFE"/>
    <w:rsid w:val="0DC61A39"/>
    <w:rsid w:val="0F9E186B"/>
    <w:rsid w:val="104379CB"/>
    <w:rsid w:val="10EA0134"/>
    <w:rsid w:val="111F0D66"/>
    <w:rsid w:val="12725E34"/>
    <w:rsid w:val="128862B8"/>
    <w:rsid w:val="12A208F8"/>
    <w:rsid w:val="139B284C"/>
    <w:rsid w:val="13D6674E"/>
    <w:rsid w:val="145511D4"/>
    <w:rsid w:val="15FA1E50"/>
    <w:rsid w:val="160D20D4"/>
    <w:rsid w:val="16113A6D"/>
    <w:rsid w:val="16D960A7"/>
    <w:rsid w:val="194D7797"/>
    <w:rsid w:val="1987098D"/>
    <w:rsid w:val="1B2E4250"/>
    <w:rsid w:val="1C626259"/>
    <w:rsid w:val="1CE162C0"/>
    <w:rsid w:val="1CED11B9"/>
    <w:rsid w:val="1D8069B0"/>
    <w:rsid w:val="1DC61AF5"/>
    <w:rsid w:val="1E6C3F37"/>
    <w:rsid w:val="1F363E0F"/>
    <w:rsid w:val="1F4762D9"/>
    <w:rsid w:val="202245BB"/>
    <w:rsid w:val="205B3B79"/>
    <w:rsid w:val="205D622D"/>
    <w:rsid w:val="236A5261"/>
    <w:rsid w:val="237E1240"/>
    <w:rsid w:val="23AD4FE3"/>
    <w:rsid w:val="23D65D56"/>
    <w:rsid w:val="25113215"/>
    <w:rsid w:val="25FF2CBA"/>
    <w:rsid w:val="26F00DCF"/>
    <w:rsid w:val="273C0EE5"/>
    <w:rsid w:val="278542BB"/>
    <w:rsid w:val="286B1703"/>
    <w:rsid w:val="28773C04"/>
    <w:rsid w:val="28C04354"/>
    <w:rsid w:val="295029B7"/>
    <w:rsid w:val="2CF808D7"/>
    <w:rsid w:val="2CFE7030"/>
    <w:rsid w:val="2DBD655D"/>
    <w:rsid w:val="306727B0"/>
    <w:rsid w:val="33380434"/>
    <w:rsid w:val="36603A79"/>
    <w:rsid w:val="37083929"/>
    <w:rsid w:val="38B50364"/>
    <w:rsid w:val="3BDC30FC"/>
    <w:rsid w:val="3C504A40"/>
    <w:rsid w:val="3D1A075B"/>
    <w:rsid w:val="3E4B54BF"/>
    <w:rsid w:val="3EE37A02"/>
    <w:rsid w:val="3F37359B"/>
    <w:rsid w:val="3FAD538D"/>
    <w:rsid w:val="40D93173"/>
    <w:rsid w:val="41764F49"/>
    <w:rsid w:val="41874A60"/>
    <w:rsid w:val="41B25855"/>
    <w:rsid w:val="42360234"/>
    <w:rsid w:val="42CB6BCE"/>
    <w:rsid w:val="4469344B"/>
    <w:rsid w:val="45BE194F"/>
    <w:rsid w:val="46A55988"/>
    <w:rsid w:val="46DF70EC"/>
    <w:rsid w:val="474B6C47"/>
    <w:rsid w:val="48557BB7"/>
    <w:rsid w:val="49047E06"/>
    <w:rsid w:val="49060960"/>
    <w:rsid w:val="496F6559"/>
    <w:rsid w:val="49F56CE9"/>
    <w:rsid w:val="4A2E28B1"/>
    <w:rsid w:val="4B7C5F6E"/>
    <w:rsid w:val="4EA870E2"/>
    <w:rsid w:val="500E459E"/>
    <w:rsid w:val="52B92EE7"/>
    <w:rsid w:val="535B6DEA"/>
    <w:rsid w:val="536F35A6"/>
    <w:rsid w:val="53ED1573"/>
    <w:rsid w:val="5471772A"/>
    <w:rsid w:val="554747DA"/>
    <w:rsid w:val="555E7CFE"/>
    <w:rsid w:val="56ED1AEC"/>
    <w:rsid w:val="56FE65BC"/>
    <w:rsid w:val="587A07F0"/>
    <w:rsid w:val="5A7555B0"/>
    <w:rsid w:val="5B683F5E"/>
    <w:rsid w:val="5C275BBF"/>
    <w:rsid w:val="5C307D89"/>
    <w:rsid w:val="5CC46711"/>
    <w:rsid w:val="5D4930BA"/>
    <w:rsid w:val="5D784150"/>
    <w:rsid w:val="5E11090D"/>
    <w:rsid w:val="5EAE1426"/>
    <w:rsid w:val="60477D84"/>
    <w:rsid w:val="61073070"/>
    <w:rsid w:val="610D469B"/>
    <w:rsid w:val="6215127D"/>
    <w:rsid w:val="62C03E1E"/>
    <w:rsid w:val="63B33B67"/>
    <w:rsid w:val="63DC1142"/>
    <w:rsid w:val="646A0640"/>
    <w:rsid w:val="65D04378"/>
    <w:rsid w:val="66124991"/>
    <w:rsid w:val="6678476A"/>
    <w:rsid w:val="68397197"/>
    <w:rsid w:val="694A61EF"/>
    <w:rsid w:val="69617A8B"/>
    <w:rsid w:val="6A212890"/>
    <w:rsid w:val="6A69228C"/>
    <w:rsid w:val="6BC755F1"/>
    <w:rsid w:val="6C8B40D0"/>
    <w:rsid w:val="6CCB5899"/>
    <w:rsid w:val="6D883722"/>
    <w:rsid w:val="6DC522E8"/>
    <w:rsid w:val="6DF6644D"/>
    <w:rsid w:val="6E565636"/>
    <w:rsid w:val="6E82642B"/>
    <w:rsid w:val="6F1A48B6"/>
    <w:rsid w:val="70D07922"/>
    <w:rsid w:val="713F23B2"/>
    <w:rsid w:val="71681909"/>
    <w:rsid w:val="73F81C33"/>
    <w:rsid w:val="7414449E"/>
    <w:rsid w:val="763224E5"/>
    <w:rsid w:val="77EB6DF0"/>
    <w:rsid w:val="78663B4C"/>
    <w:rsid w:val="79DA35C0"/>
    <w:rsid w:val="7BE93B80"/>
    <w:rsid w:val="7BFFE41D"/>
    <w:rsid w:val="7E01506B"/>
    <w:rsid w:val="7E461224"/>
    <w:rsid w:val="7E503231"/>
    <w:rsid w:val="7FE655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6">
    <w:name w:val="Default Paragraph Font"/>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caption"/>
    <w:basedOn w:val="1"/>
    <w:qFormat/>
    <w:uiPriority w:val="0"/>
    <w:pPr>
      <w:widowControl w:val="0"/>
      <w:suppressLineNumbers/>
      <w:suppressAutoHyphens/>
      <w:spacing w:before="120" w:after="120"/>
    </w:pPr>
    <w:rPr>
      <w:i/>
      <w:iCs/>
      <w:sz w:val="24"/>
      <w:szCs w:val="24"/>
    </w:rPr>
  </w:style>
  <w:style w:type="paragraph" w:styleId="5">
    <w:name w:val="Body Text"/>
    <w:basedOn w:val="1"/>
    <w:next w:val="1"/>
    <w:qFormat/>
    <w:uiPriority w:val="0"/>
    <w:pPr>
      <w:spacing w:before="0" w:after="140" w:line="276" w:lineRule="auto"/>
    </w:p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List"/>
    <w:basedOn w:val="5"/>
    <w:qFormat/>
    <w:uiPriority w:val="0"/>
  </w:style>
  <w:style w:type="paragraph" w:styleId="12">
    <w:name w:val="footnote text"/>
    <w:basedOn w:val="1"/>
    <w:next w:val="7"/>
    <w:semiHidden/>
    <w:qFormat/>
    <w:uiPriority w:val="0"/>
    <w:pPr>
      <w:snapToGrid w:val="0"/>
      <w:jc w:val="left"/>
    </w:pPr>
    <w:rPr>
      <w:sz w:val="18"/>
      <w:szCs w:val="1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rPr>
      <w:sz w:val="24"/>
    </w:rPr>
  </w:style>
  <w:style w:type="character" w:styleId="17">
    <w:name w:val="Strong"/>
    <w:basedOn w:val="16"/>
    <w:qFormat/>
    <w:uiPriority w:val="99"/>
    <w:rPr>
      <w:b/>
    </w:rPr>
  </w:style>
  <w:style w:type="paragraph" w:customStyle="1" w:styleId="18">
    <w:name w:val="BodyText1I2"/>
    <w:basedOn w:val="19"/>
    <w:autoRedefine/>
    <w:qFormat/>
    <w:uiPriority w:val="0"/>
    <w:pPr>
      <w:ind w:firstLine="200" w:firstLineChars="200"/>
    </w:pPr>
    <w:rPr>
      <w:sz w:val="21"/>
    </w:rPr>
  </w:style>
  <w:style w:type="paragraph" w:customStyle="1" w:styleId="19">
    <w:name w:val="BodyTextIndent"/>
    <w:basedOn w:val="1"/>
    <w:autoRedefine/>
    <w:qFormat/>
    <w:uiPriority w:val="0"/>
    <w:pPr>
      <w:spacing w:after="120"/>
      <w:ind w:left="200" w:leftChars="200"/>
      <w:jc w:val="both"/>
      <w:textAlignment w:val="baseline"/>
    </w:pPr>
  </w:style>
  <w:style w:type="character" w:customStyle="1" w:styleId="20">
    <w:name w:val="标题 1 Char"/>
    <w:basedOn w:val="16"/>
    <w:link w:val="2"/>
    <w:qFormat/>
    <w:uiPriority w:val="9"/>
    <w:rPr>
      <w:b/>
      <w:bCs/>
      <w:kern w:val="44"/>
      <w:sz w:val="44"/>
      <w:szCs w:val="44"/>
    </w:rPr>
  </w:style>
  <w:style w:type="character" w:customStyle="1" w:styleId="21">
    <w:name w:val="标题 2 Char"/>
    <w:basedOn w:val="16"/>
    <w:link w:val="3"/>
    <w:qFormat/>
    <w:uiPriority w:val="9"/>
    <w:rPr>
      <w:rFonts w:ascii="Cambria" w:hAnsi="Cambria" w:eastAsia="宋体" w:cs="Times New Roman"/>
      <w:b/>
      <w:bCs/>
      <w:sz w:val="32"/>
      <w:szCs w:val="32"/>
    </w:rPr>
  </w:style>
  <w:style w:type="character" w:customStyle="1" w:styleId="22">
    <w:name w:val="默认段落字体1"/>
    <w:qFormat/>
    <w:uiPriority w:val="0"/>
  </w:style>
  <w:style w:type="paragraph" w:customStyle="1" w:styleId="23">
    <w:name w:val="Heading"/>
    <w:basedOn w:val="1"/>
    <w:next w:val="5"/>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24">
    <w:name w:val="Index"/>
    <w:basedOn w:val="1"/>
    <w:qFormat/>
    <w:uiPriority w:val="0"/>
    <w:pPr>
      <w:widowControl w:val="0"/>
      <w:suppressLineNumbers/>
      <w:suppressAutoHyphens/>
    </w:pPr>
  </w:style>
  <w:style w:type="paragraph" w:styleId="25">
    <w:name w:val="List Paragraph"/>
    <w:basedOn w:val="1"/>
    <w:qFormat/>
    <w:uiPriority w:val="34"/>
    <w:pPr>
      <w:ind w:firstLine="420" w:firstLineChars="200"/>
    </w:p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普通(网站) Char"/>
    <w:basedOn w:val="1"/>
    <w:autoRedefine/>
    <w:qFormat/>
    <w:uiPriority w:val="0"/>
    <w:pPr>
      <w:spacing w:beforeAutospacing="1" w:afterAutospacing="1"/>
    </w:pPr>
    <w:rPr>
      <w:rFonts w:ascii="方正楷体_GBK" w:eastAsia="方正楷体_GBK"/>
    </w:rPr>
  </w:style>
  <w:style w:type="character" w:customStyle="1" w:styleId="28">
    <w:name w:val="15"/>
    <w:basedOn w:val="16"/>
    <w:autoRedefine/>
    <w:qFormat/>
    <w:uiPriority w:val="0"/>
    <w:rPr>
      <w:rFonts w:ascii="Times New Roman" w:hAnsi="Times New Roman" w:cs="Times New Roman"/>
      <w:b/>
    </w:rPr>
  </w:style>
  <w:style w:type="character" w:customStyle="1" w:styleId="29">
    <w:name w:val="标题 2 字符"/>
    <w:basedOn w:val="16"/>
    <w:link w:val="3"/>
    <w:qFormat/>
    <w:uiPriority w:val="9"/>
    <w:rPr>
      <w:rFonts w:asciiTheme="majorHAnsi" w:hAnsiTheme="majorHAnsi" w:eastAsiaTheme="majorEastAsia" w:cstheme="majorBidi"/>
      <w:b/>
      <w:bCs/>
      <w:kern w:val="2"/>
      <w:sz w:val="32"/>
      <w:szCs w:val="32"/>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 w:type="paragraph" w:customStyle="1" w:styleId="32">
    <w:name w:val="Table Paragraph"/>
    <w:basedOn w:val="1"/>
    <w:qFormat/>
    <w:uiPriority w:val="1"/>
    <w:pPr>
      <w:jc w:val="center"/>
    </w:pPr>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Sheet1!$B$2:$B$3</c:f>
              <c:numCache>
                <c:formatCode>#,##0.00</c:formatCode>
                <c:ptCount val="2"/>
                <c:pt idx="0">
                  <c:v>4078.65</c:v>
                </c:pt>
                <c:pt idx="1" c:formatCode="General">
                  <c:v>4186.03</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Sheet1!$C$2:$C$3</c:f>
              <c:numCache>
                <c:formatCode>#,##0.00</c:formatCode>
                <c:ptCount val="2"/>
                <c:pt idx="0">
                  <c:v>4078.65</c:v>
                </c:pt>
                <c:pt idx="1" c:formatCode="General">
                  <c:v>4186.03</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2023</c:v>
                </c:pt>
                <c:pt idx="1">
                  <c:v>2024</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55527820"/>
        <c:axId val="56941169"/>
      </c:barChart>
      <c:catAx>
        <c:axId val="5552782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941169"/>
        <c:crosses val="autoZero"/>
        <c:auto val="1"/>
        <c:lblAlgn val="ctr"/>
        <c:lblOffset val="100"/>
        <c:noMultiLvlLbl val="0"/>
      </c:catAx>
      <c:valAx>
        <c:axId val="56941169"/>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527820"/>
        <c:crosses val="autoZero"/>
        <c:crossBetween val="between"/>
      </c:valAx>
      <c:spPr>
        <a:noFill/>
        <a:ln>
          <a:noFill/>
        </a:ln>
        <a:effectLst/>
      </c:spPr>
    </c:plotArea>
    <c:legend>
      <c:legendPos val="b"/>
      <c:legendEntry>
        <c:idx val="2"/>
        <c:delete val="1"/>
      </c:legendEntry>
      <c:layout>
        <c:manualLayout>
          <c:xMode val="edge"/>
          <c:yMode val="edge"/>
          <c:x val="0.420276617954071"/>
          <c:y val="0.79144385026738"/>
          <c:w val="0.162969728601253"/>
          <c:h val="0.14973262032085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ad4e461-271f-4aca-9914-01c1867b097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#,##0.00</c:formatCode>
                <c:ptCount val="1"/>
                <c:pt idx="0">
                  <c:v>4186.03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350365431465573"/>
          <c:y val="0.10889973713856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e1581bd-a40a-4318-ad35-02b015bf237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支出结构决算图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eparator>;</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3697.36</c:v>
                </c:pt>
                <c:pt idx="1">
                  <c:v>488.67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a57a7e6-26e7-4865-afbc-0943c5b92ae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50640251268422"/>
          <c:y val="0.0509987250318742"/>
          <c:w val="0.908359507127325"/>
          <c:h val="0.754228644283893"/>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Sheet1!$B$2:$B$3</c:f>
              <c:numCache>
                <c:formatCode>#,##0.00</c:formatCode>
                <c:ptCount val="2"/>
                <c:pt idx="0">
                  <c:v>4078.65</c:v>
                </c:pt>
                <c:pt idx="1" c:formatCode="General">
                  <c:v>4186.03</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Sheet1!$C$2:$C$3</c:f>
              <c:numCache>
                <c:formatCode>#,##0.00</c:formatCode>
                <c:ptCount val="2"/>
                <c:pt idx="0">
                  <c:v>4078.65</c:v>
                </c:pt>
                <c:pt idx="1" c:formatCode="General">
                  <c:v>4186.03</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2023</c:v>
                </c:pt>
                <c:pt idx="1">
                  <c:v>2024</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505462159"/>
        <c:axId val="336000619"/>
      </c:barChart>
      <c:catAx>
        <c:axId val="5054621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6000619"/>
        <c:crosses val="autoZero"/>
        <c:auto val="1"/>
        <c:lblAlgn val="ctr"/>
        <c:lblOffset val="100"/>
        <c:noMultiLvlLbl val="0"/>
      </c:catAx>
      <c:valAx>
        <c:axId val="336000619"/>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5462159"/>
        <c:crosses val="autoZero"/>
        <c:crossBetween val="between"/>
      </c:valAx>
      <c:spPr>
        <a:noFill/>
        <a:ln>
          <a:noFill/>
        </a:ln>
        <a:effectLst/>
      </c:spPr>
    </c:plotArea>
    <c:legend>
      <c:legendPos val="b"/>
      <c:legendEntry>
        <c:idx val="2"/>
        <c:delete val="1"/>
      </c:legendEntry>
      <c:layout>
        <c:manualLayout>
          <c:xMode val="edge"/>
          <c:yMode val="edge"/>
          <c:x val="0.385539985503745"/>
          <c:y val="0.90331491712707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c0f74bf-1ea2-4126-8a4d-ef8b907b746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00100300902708"/>
          <c:y val="0.0509987250318742"/>
          <c:w val="0.908359507127325"/>
          <c:h val="0.754228644283893"/>
        </c:manualLayout>
      </c:layout>
      <c:barChart>
        <c:barDir val="col"/>
        <c:grouping val="clustered"/>
        <c:varyColors val="0"/>
        <c:ser>
          <c:idx val="0"/>
          <c:order val="0"/>
          <c:tx>
            <c:strRef>
              <c:f>Sheet1!#REF!</c:f>
              <c:strCache>
                <c:ptCount val="1"/>
                <c:pt idx="0">
                  <c:v/>
                </c:pt>
              </c:strCache>
            </c:strRef>
          </c:tx>
          <c:spPr>
            <a:solidFill>
              <a:schemeClr val="accent1"/>
            </a:solidFill>
            <a:ln>
              <a:noFill/>
            </a:ln>
            <a:effectLst/>
          </c:spPr>
          <c:invertIfNegative val="0"/>
          <c:dLbls>
            <c:delete val="1"/>
          </c:dLbls>
          <c:cat>
            <c:numRef>
              <c:f>Sheet1!$A$2:$A$3</c:f>
              <c:numCache>
                <c:formatCode>General</c:formatCode>
                <c:ptCount val="2"/>
                <c:pt idx="0">
                  <c:v>2023</c:v>
                </c:pt>
                <c:pt idx="1">
                  <c:v>2024</c:v>
                </c:pt>
              </c:numCache>
            </c:numRef>
          </c:cat>
          <c:val>
            <c:numRef>
              <c:f>Sheet1!#REF!</c:f>
              <c:numCache>
                <c:formatCode>General</c:formatCode>
                <c:ptCount val="1"/>
                <c:pt idx="0">
                  <c:v>1</c:v>
                </c:pt>
              </c:numCache>
            </c:numRef>
          </c:val>
        </c:ser>
        <c:ser>
          <c:idx val="1"/>
          <c:order val="1"/>
          <c:tx>
            <c:strRef>
              <c:f>Sheet1!$B$1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Sheet1!$B$2:$B$3</c:f>
              <c:numCache>
                <c:formatCode>General</c:formatCode>
                <c:ptCount val="2"/>
                <c:pt idx="0">
                  <c:v>4078.65</c:v>
                </c:pt>
                <c:pt idx="1" c:formatCode="#,##0.00">
                  <c:v>4186.03</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2023</c:v>
                </c:pt>
                <c:pt idx="1">
                  <c:v>2024</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505462159"/>
        <c:axId val="336000619"/>
      </c:barChart>
      <c:catAx>
        <c:axId val="5054621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6000619"/>
        <c:crosses val="autoZero"/>
        <c:auto val="1"/>
        <c:lblAlgn val="ctr"/>
        <c:lblOffset val="100"/>
        <c:noMultiLvlLbl val="0"/>
      </c:catAx>
      <c:valAx>
        <c:axId val="33600061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5462159"/>
        <c:crosses val="autoZero"/>
        <c:crossBetween val="between"/>
      </c:valAx>
      <c:spPr>
        <a:noFill/>
        <a:ln>
          <a:noFill/>
        </a:ln>
        <a:effectLst/>
      </c:spPr>
    </c:plotArea>
    <c:legend>
      <c:legendPos val="b"/>
      <c:legendEntry>
        <c:idx val="0"/>
        <c:delete val="1"/>
      </c:legendEntry>
      <c:legendEntry>
        <c:idx val="2"/>
        <c:delete val="1"/>
      </c:legendEntry>
      <c:layout>
        <c:manualLayout>
          <c:xMode val="edge"/>
          <c:yMode val="edge"/>
          <c:x val="0.465780707670245"/>
          <c:y val="0.88031054629661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c765cb4-0657-48aa-ad10-a67fe825848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4"/>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0%</a:t>
                    </a:r>
                  </a:p>
                </c:rich>
              </c:tx>
              <c:dLblPos val="bestFit"/>
              <c:showLegendKey val="0"/>
              <c:showVal val="0"/>
              <c:showCatName val="0"/>
              <c:showSerName val="0"/>
              <c:showPercent val="1"/>
              <c:showBubbleSize val="0"/>
              <c:extLst>
                <c:ext xmlns:c15="http://schemas.microsoft.com/office/drawing/2012/chart" uri="{CE6537A1-D6FC-4f65-9D91-7224C49458BB}"/>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社会保障和就业支出</c:v>
                </c:pt>
                <c:pt idx="1">
                  <c:v>卫生健康支出</c:v>
                </c:pt>
                <c:pt idx="2">
                  <c:v>住房保障支出</c:v>
                </c:pt>
                <c:pt idx="3">
                  <c:v>一般公共服务支出</c:v>
                </c:pt>
                <c:pt idx="4">
                  <c:v>教育支出</c:v>
                </c:pt>
              </c:strCache>
            </c:strRef>
          </c:cat>
          <c:val>
            <c:numRef>
              <c:f>Sheet1!$B$2:$B$6</c:f>
              <c:numCache>
                <c:formatCode>General</c:formatCode>
                <c:ptCount val="5"/>
                <c:pt idx="0">
                  <c:v>348.82</c:v>
                </c:pt>
                <c:pt idx="1">
                  <c:v>122.93</c:v>
                </c:pt>
                <c:pt idx="2">
                  <c:v>155.72</c:v>
                </c:pt>
                <c:pt idx="3" c:formatCode="#,##0.00">
                  <c:v>3556.78</c:v>
                </c:pt>
                <c:pt idx="4">
                  <c:v>1.78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f1cb7fa-b0da-4165-a047-4763a198fc9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0%</a:t>
                    </a:r>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0.11260302922312"/>
                  <c:y val="0.00063818177132105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496.78</c:v>
                </c:pt>
                <c:pt idx="2">
                  <c:v>2.15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5e67a5a-64a4-4aaf-a3fc-9b8fe9396f9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56</Pages>
  <Words>8825</Words>
  <Characters>9831</Characters>
  <Lines>1</Lines>
  <Paragraphs>1</Paragraphs>
  <TotalTime>1</TotalTime>
  <ScaleCrop>false</ScaleCrop>
  <LinksUpToDate>false</LinksUpToDate>
  <CharactersWithSpaces>9965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2018-11-27T01:47:00Z</dcterms:created>
  <dc:creator>user</dc:creator>
  <cp:lastModifiedBy>秋水入梦</cp:lastModifiedBy>
  <dcterms:modified xsi:type="dcterms:W3CDTF">2025-09-11T01:38:15Z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54ABA124B92540C99FE9944EE120E2CC_13</vt:lpwstr>
  </property>
  <property fmtid="{D5CDD505-2E9C-101B-9397-08002B2CF9AE}" pid="4" name="KSOTemplateDocerSaveRecord">
    <vt:lpwstr>eyJoZGlkIjoiYjQ4OGRlZjIxYTQwNTVkOWE0MTE1MmIwNGY3ZjZlN2UiLCJ1c2VySWQiOiI2Mjc0NTIzNzkifQ==</vt:lpwstr>
  </property>
</Properties>
</file>