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75777">
      <w:r>
        <w:rPr>
          <w:rFonts w:hint="eastAsia"/>
        </w:rPr>
        <w:t xml:space="preserve"> </w:t>
      </w:r>
    </w:p>
    <w:p w14:paraId="19A8D325"/>
    <w:p w14:paraId="5F087076"/>
    <w:p w14:paraId="2ACDAD1D"/>
    <w:p w14:paraId="6CCB1718">
      <w:pPr>
        <w:ind w:firstLine="1050" w:firstLineChars="500"/>
      </w:pPr>
    </w:p>
    <w:p w14:paraId="7AA6518B">
      <w:pPr>
        <w:ind w:firstLine="1050" w:firstLineChars="500"/>
      </w:pPr>
    </w:p>
    <w:p w14:paraId="409C3FE9">
      <w:pPr>
        <w:ind w:firstLine="1760" w:firstLineChars="400"/>
        <w:rPr>
          <w:rFonts w:ascii="黑体" w:hAnsi="黑体" w:eastAsia="黑体"/>
          <w:sz w:val="44"/>
          <w:szCs w:val="44"/>
        </w:rPr>
      </w:pPr>
    </w:p>
    <w:p w14:paraId="4A0EECA7">
      <w:pPr>
        <w:ind w:firstLine="1760" w:firstLineChars="400"/>
        <w:rPr>
          <w:rFonts w:ascii="黑体" w:hAnsi="黑体" w:eastAsia="黑体"/>
          <w:sz w:val="44"/>
          <w:szCs w:val="44"/>
        </w:rPr>
      </w:pPr>
    </w:p>
    <w:p w14:paraId="419382A0">
      <w:pPr>
        <w:spacing w:line="640" w:lineRule="exact"/>
        <w:ind w:firstLine="1320" w:firstLineChars="3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阿坝州人大常委会办公室（汇总）</w:t>
      </w:r>
    </w:p>
    <w:p w14:paraId="14A2DCDB">
      <w:pPr>
        <w:spacing w:line="640" w:lineRule="exact"/>
        <w:ind w:firstLine="2640" w:firstLineChars="6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202</w:t>
      </w:r>
      <w:r>
        <w:rPr>
          <w:rFonts w:hint="eastAsia" w:ascii="方正黑体_GBK" w:hAnsi="方正黑体_GBK" w:eastAsia="方正黑体_GBK" w:cs="方正黑体_GBK"/>
          <w:sz w:val="44"/>
          <w:szCs w:val="44"/>
          <w:lang w:val="en-US" w:eastAsia="zh-CN"/>
        </w:rPr>
        <w:t>6</w:t>
      </w:r>
      <w:r>
        <w:rPr>
          <w:rFonts w:hint="eastAsia" w:ascii="方正黑体_GBK" w:hAnsi="方正黑体_GBK" w:eastAsia="方正黑体_GBK" w:cs="方正黑体_GBK"/>
          <w:sz w:val="44"/>
          <w:szCs w:val="44"/>
        </w:rPr>
        <w:t>年部门预算</w:t>
      </w:r>
    </w:p>
    <w:p w14:paraId="1FE2D0E6">
      <w:pPr>
        <w:spacing w:line="640" w:lineRule="exact"/>
        <w:ind w:firstLine="1760" w:firstLineChars="400"/>
        <w:rPr>
          <w:rFonts w:ascii="方正黑体_GBK" w:hAnsi="方正黑体_GBK" w:eastAsia="方正黑体_GBK" w:cs="方正黑体_GBK"/>
          <w:sz w:val="44"/>
          <w:szCs w:val="44"/>
        </w:rPr>
      </w:pPr>
    </w:p>
    <w:p w14:paraId="5BE92BE8">
      <w:pPr>
        <w:spacing w:line="640" w:lineRule="exact"/>
        <w:ind w:firstLine="1760" w:firstLineChars="400"/>
        <w:rPr>
          <w:rFonts w:ascii="方正黑体_GBK" w:hAnsi="方正黑体_GBK" w:eastAsia="方正黑体_GBK" w:cs="方正黑体_GBK"/>
          <w:sz w:val="44"/>
          <w:szCs w:val="44"/>
        </w:rPr>
      </w:pPr>
    </w:p>
    <w:p w14:paraId="55325148">
      <w:pPr>
        <w:ind w:firstLine="1760" w:firstLineChars="400"/>
        <w:rPr>
          <w:rFonts w:ascii="黑体" w:hAnsi="黑体" w:eastAsia="黑体"/>
          <w:sz w:val="44"/>
          <w:szCs w:val="44"/>
        </w:rPr>
      </w:pPr>
    </w:p>
    <w:p w14:paraId="4BDDF4D8">
      <w:pPr>
        <w:ind w:firstLine="1760" w:firstLineChars="400"/>
        <w:rPr>
          <w:rFonts w:ascii="黑体" w:hAnsi="黑体" w:eastAsia="黑体"/>
          <w:sz w:val="44"/>
          <w:szCs w:val="44"/>
        </w:rPr>
      </w:pPr>
    </w:p>
    <w:p w14:paraId="46CFD553">
      <w:pPr>
        <w:ind w:firstLine="1760" w:firstLineChars="400"/>
        <w:rPr>
          <w:rFonts w:ascii="黑体" w:hAnsi="黑体" w:eastAsia="黑体"/>
          <w:sz w:val="44"/>
          <w:szCs w:val="44"/>
        </w:rPr>
      </w:pPr>
    </w:p>
    <w:p w14:paraId="518D86E9">
      <w:pPr>
        <w:ind w:firstLine="1760" w:firstLineChars="400"/>
        <w:rPr>
          <w:rFonts w:ascii="黑体" w:hAnsi="黑体" w:eastAsia="黑体"/>
          <w:sz w:val="44"/>
          <w:szCs w:val="44"/>
        </w:rPr>
      </w:pPr>
    </w:p>
    <w:p w14:paraId="22E64E31">
      <w:pPr>
        <w:ind w:firstLine="1760" w:firstLineChars="400"/>
        <w:rPr>
          <w:rFonts w:ascii="黑体" w:hAnsi="黑体" w:eastAsia="黑体"/>
          <w:sz w:val="44"/>
          <w:szCs w:val="44"/>
        </w:rPr>
      </w:pPr>
    </w:p>
    <w:p w14:paraId="606F9C5C">
      <w:pPr>
        <w:ind w:firstLine="1760" w:firstLineChars="400"/>
        <w:rPr>
          <w:rFonts w:ascii="黑体" w:hAnsi="黑体" w:eastAsia="黑体"/>
          <w:sz w:val="44"/>
          <w:szCs w:val="44"/>
        </w:rPr>
      </w:pPr>
    </w:p>
    <w:p w14:paraId="33B779C4">
      <w:pPr>
        <w:ind w:firstLine="2560" w:firstLineChars="8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 xml:space="preserve">年 </w:t>
      </w:r>
      <w:r>
        <w:rPr>
          <w:rFonts w:hint="eastAsia" w:ascii="黑体" w:hAnsi="黑体" w:eastAsia="黑体"/>
          <w:sz w:val="32"/>
          <w:szCs w:val="32"/>
          <w:lang w:val="en-US" w:eastAsia="zh-CN"/>
        </w:rPr>
        <w:t>1</w:t>
      </w:r>
      <w:r>
        <w:rPr>
          <w:rFonts w:hint="eastAsia" w:ascii="黑体" w:hAnsi="黑体" w:eastAsia="黑体"/>
          <w:sz w:val="32"/>
          <w:szCs w:val="32"/>
        </w:rPr>
        <w:t xml:space="preserve"> 月</w:t>
      </w:r>
      <w:r>
        <w:rPr>
          <w:rFonts w:hint="eastAsia" w:ascii="黑体" w:hAnsi="黑体" w:eastAsia="黑体"/>
          <w:sz w:val="32"/>
          <w:szCs w:val="32"/>
          <w:lang w:val="en-US" w:eastAsia="zh-CN"/>
        </w:rPr>
        <w:t xml:space="preserve"> 22</w:t>
      </w:r>
      <w:r>
        <w:rPr>
          <w:rFonts w:hint="eastAsia" w:ascii="黑体" w:hAnsi="黑体" w:eastAsia="黑体"/>
          <w:sz w:val="32"/>
          <w:szCs w:val="32"/>
        </w:rPr>
        <w:t>日</w:t>
      </w:r>
    </w:p>
    <w:p w14:paraId="7C2CC26A">
      <w:pPr>
        <w:ind w:firstLine="1760" w:firstLineChars="400"/>
        <w:rPr>
          <w:rFonts w:ascii="黑体" w:hAnsi="黑体" w:eastAsia="黑体"/>
          <w:sz w:val="44"/>
          <w:szCs w:val="44"/>
        </w:rPr>
      </w:pPr>
    </w:p>
    <w:p w14:paraId="009E3FB6">
      <w:pPr>
        <w:ind w:firstLine="1760" w:firstLineChars="400"/>
        <w:rPr>
          <w:rFonts w:ascii="黑体" w:hAnsi="黑体" w:eastAsia="黑体"/>
          <w:sz w:val="44"/>
          <w:szCs w:val="44"/>
        </w:rPr>
      </w:pPr>
    </w:p>
    <w:p w14:paraId="5F09E323">
      <w:pPr>
        <w:ind w:firstLine="1760" w:firstLineChars="400"/>
        <w:rPr>
          <w:rFonts w:ascii="黑体" w:hAnsi="黑体" w:eastAsia="黑体"/>
          <w:sz w:val="44"/>
          <w:szCs w:val="44"/>
        </w:rPr>
      </w:pPr>
    </w:p>
    <w:p w14:paraId="52223CAD">
      <w:pPr>
        <w:ind w:firstLine="1760" w:firstLineChars="400"/>
        <w:rPr>
          <w:rFonts w:ascii="黑体" w:hAnsi="黑体" w:eastAsia="黑体"/>
          <w:sz w:val="44"/>
          <w:szCs w:val="44"/>
        </w:rPr>
      </w:pPr>
    </w:p>
    <w:p w14:paraId="7E7AE0F2">
      <w:pPr>
        <w:ind w:firstLine="3120" w:firstLineChars="600"/>
        <w:rPr>
          <w:rFonts w:ascii="黑体" w:hAnsi="黑体" w:eastAsia="黑体"/>
          <w:sz w:val="52"/>
          <w:szCs w:val="52"/>
        </w:rPr>
      </w:pPr>
      <w:r>
        <w:rPr>
          <w:rFonts w:hint="eastAsia" w:ascii="黑体" w:hAnsi="黑体" w:eastAsia="黑体"/>
          <w:sz w:val="52"/>
          <w:szCs w:val="52"/>
        </w:rPr>
        <w:t>目 录</w:t>
      </w:r>
    </w:p>
    <w:p w14:paraId="3BB1FA62">
      <w:pPr>
        <w:ind w:firstLine="3080" w:firstLineChars="700"/>
        <w:rPr>
          <w:rFonts w:ascii="黑体" w:hAnsi="黑体" w:eastAsia="黑体"/>
          <w:sz w:val="44"/>
          <w:szCs w:val="44"/>
        </w:rPr>
      </w:pPr>
    </w:p>
    <w:p w14:paraId="1B99D959">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02CA391D">
      <w:pPr>
        <w:rPr>
          <w:rFonts w:ascii="Times New Roman" w:hAnsi="Times New Roman" w:eastAsia="方正楷体_GBK" w:cs="Times New Roman"/>
          <w:sz w:val="32"/>
          <w:szCs w:val="32"/>
        </w:rPr>
      </w:pPr>
      <w:r>
        <w:rPr>
          <w:rFonts w:ascii="Times New Roman" w:hAnsi="Times New Roman" w:eastAsia="方正楷体_GBK" w:cs="Times New Roman"/>
          <w:sz w:val="32"/>
          <w:szCs w:val="32"/>
        </w:rPr>
        <w:t>（一）部门职能简介</w:t>
      </w:r>
    </w:p>
    <w:p w14:paraId="6A558F25">
      <w:pPr>
        <w:rPr>
          <w:rFonts w:ascii="Times New Roman" w:hAnsi="Times New Roman" w:eastAsia="方正楷体_GBK" w:cs="Times New Roman"/>
          <w:sz w:val="32"/>
          <w:szCs w:val="32"/>
        </w:rPr>
      </w:pPr>
      <w:r>
        <w:rPr>
          <w:rFonts w:ascii="Times New Roman" w:hAnsi="Times New Roman" w:eastAsia="方正楷体_GBK" w:cs="Times New Roman"/>
          <w:sz w:val="32"/>
          <w:szCs w:val="32"/>
        </w:rPr>
        <w:t>（二）202</w:t>
      </w:r>
      <w:r>
        <w:rPr>
          <w:rFonts w:hint="eastAsia" w:ascii="Times New Roman" w:hAnsi="Times New Roman" w:eastAsia="方正楷体_GBK" w:cs="Times New Roman"/>
          <w:sz w:val="32"/>
          <w:szCs w:val="32"/>
          <w:lang w:val="en-US" w:eastAsia="zh-CN"/>
        </w:rPr>
        <w:t>6</w:t>
      </w:r>
      <w:r>
        <w:rPr>
          <w:rFonts w:ascii="Times New Roman" w:hAnsi="Times New Roman" w:eastAsia="方正楷体_GBK" w:cs="Times New Roman"/>
          <w:sz w:val="32"/>
          <w:szCs w:val="32"/>
        </w:rPr>
        <w:t>年重点工作</w:t>
      </w:r>
    </w:p>
    <w:p w14:paraId="1CEEF780">
      <w:pPr>
        <w:rPr>
          <w:rFonts w:ascii="黑体" w:hAnsi="黑体" w:eastAsia="黑体"/>
          <w:sz w:val="32"/>
          <w:szCs w:val="32"/>
        </w:rPr>
      </w:pPr>
      <w:r>
        <w:rPr>
          <w:rFonts w:hint="eastAsia" w:ascii="黑体" w:hAnsi="黑体" w:eastAsia="黑体"/>
          <w:sz w:val="32"/>
          <w:szCs w:val="32"/>
        </w:rPr>
        <w:t>二、部门预算单位构成</w:t>
      </w:r>
    </w:p>
    <w:p w14:paraId="1155B829">
      <w:pPr>
        <w:rPr>
          <w:rFonts w:ascii="黑体" w:hAnsi="黑体" w:eastAsia="黑体"/>
          <w:sz w:val="32"/>
          <w:szCs w:val="32"/>
        </w:rPr>
      </w:pPr>
      <w:r>
        <w:rPr>
          <w:rFonts w:hint="eastAsia" w:ascii="黑体" w:hAnsi="黑体" w:eastAsia="黑体"/>
          <w:sz w:val="32"/>
          <w:szCs w:val="32"/>
        </w:rPr>
        <w:t>三、收支预算情况说明</w:t>
      </w:r>
    </w:p>
    <w:p w14:paraId="5B552366">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（一）收入预算情况</w:t>
      </w:r>
    </w:p>
    <w:p w14:paraId="1B41FDF0">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6DCB3836">
      <w:pPr>
        <w:rPr>
          <w:rFonts w:ascii="黑体" w:hAnsi="黑体" w:eastAsia="黑体"/>
          <w:sz w:val="32"/>
          <w:szCs w:val="32"/>
        </w:rPr>
      </w:pPr>
      <w:r>
        <w:rPr>
          <w:rFonts w:hint="eastAsia" w:ascii="黑体" w:hAnsi="黑体" w:eastAsia="黑体"/>
          <w:sz w:val="32"/>
          <w:szCs w:val="32"/>
        </w:rPr>
        <w:t>四、财政拨款收支预算情况说明</w:t>
      </w:r>
    </w:p>
    <w:p w14:paraId="112A777C">
      <w:pPr>
        <w:rPr>
          <w:rFonts w:ascii="黑体" w:hAnsi="黑体" w:eastAsia="黑体"/>
          <w:sz w:val="32"/>
          <w:szCs w:val="32"/>
        </w:rPr>
      </w:pPr>
      <w:r>
        <w:rPr>
          <w:rFonts w:hint="eastAsia" w:ascii="黑体" w:hAnsi="黑体" w:eastAsia="黑体"/>
          <w:sz w:val="32"/>
          <w:szCs w:val="32"/>
        </w:rPr>
        <w:t>五、一般公共预算当年拨款情况说明</w:t>
      </w:r>
    </w:p>
    <w:p w14:paraId="3B9CA4BE">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7FB8C75C">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0FE05532">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（三）一般公共预算当年拨款具体使用情况</w:t>
      </w:r>
    </w:p>
    <w:p w14:paraId="1FC74E33">
      <w:pPr>
        <w:rPr>
          <w:rFonts w:ascii="黑体" w:hAnsi="黑体" w:eastAsia="黑体"/>
          <w:sz w:val="32"/>
          <w:szCs w:val="32"/>
        </w:rPr>
      </w:pPr>
      <w:r>
        <w:rPr>
          <w:rFonts w:ascii="黑体" w:hAnsi="黑体" w:eastAsia="黑体"/>
          <w:sz w:val="32"/>
          <w:szCs w:val="32"/>
        </w:rPr>
        <w:t>六、一般公共预算基本支出情况说明</w:t>
      </w:r>
    </w:p>
    <w:p w14:paraId="11C3A389">
      <w:pPr>
        <w:rPr>
          <w:rFonts w:ascii="黑体" w:hAnsi="黑体" w:eastAsia="黑体"/>
          <w:sz w:val="32"/>
          <w:szCs w:val="32"/>
        </w:rPr>
      </w:pPr>
      <w:r>
        <w:rPr>
          <w:rFonts w:ascii="黑体" w:hAnsi="黑体" w:eastAsia="黑体"/>
          <w:sz w:val="32"/>
          <w:szCs w:val="32"/>
        </w:rPr>
        <w:t>七、“三公”经费财政拨款预算安排情况说明</w:t>
      </w:r>
    </w:p>
    <w:p w14:paraId="0A1F8794">
      <w:pPr>
        <w:rPr>
          <w:rFonts w:ascii="黑体" w:hAnsi="黑体" w:eastAsia="黑体"/>
          <w:sz w:val="32"/>
          <w:szCs w:val="32"/>
        </w:rPr>
      </w:pPr>
      <w:r>
        <w:rPr>
          <w:rFonts w:ascii="黑体" w:hAnsi="黑体" w:eastAsia="黑体"/>
          <w:sz w:val="32"/>
          <w:szCs w:val="32"/>
        </w:rPr>
        <w:t>八、政府性基金预算支出情况说明</w:t>
      </w:r>
    </w:p>
    <w:p w14:paraId="22FA010E">
      <w:pPr>
        <w:rPr>
          <w:rFonts w:ascii="黑体" w:hAnsi="黑体" w:eastAsia="黑体"/>
          <w:sz w:val="32"/>
          <w:szCs w:val="32"/>
        </w:rPr>
      </w:pPr>
      <w:r>
        <w:rPr>
          <w:rFonts w:ascii="黑体" w:hAnsi="黑体" w:eastAsia="黑体"/>
          <w:sz w:val="32"/>
          <w:szCs w:val="32"/>
        </w:rPr>
        <w:t>九、其他重要事项的情况说明</w:t>
      </w:r>
    </w:p>
    <w:p w14:paraId="1F0F5251">
      <w:pPr>
        <w:rPr>
          <w:rFonts w:ascii="黑体" w:hAnsi="黑体" w:eastAsia="黑体"/>
          <w:sz w:val="32"/>
          <w:szCs w:val="32"/>
        </w:rPr>
      </w:pPr>
      <w:r>
        <w:rPr>
          <w:rFonts w:hint="eastAsia" w:ascii="黑体" w:hAnsi="黑体" w:eastAsia="黑体"/>
          <w:sz w:val="32"/>
          <w:szCs w:val="32"/>
        </w:rPr>
        <w:t>十、名称解释</w:t>
      </w:r>
    </w:p>
    <w:p w14:paraId="061D3F7D">
      <w:pPr>
        <w:rPr>
          <w:rFonts w:ascii="黑体" w:hAnsi="黑体" w:eastAsia="黑体"/>
          <w:sz w:val="32"/>
          <w:szCs w:val="32"/>
        </w:rPr>
      </w:pPr>
    </w:p>
    <w:tbl>
      <w:tblPr>
        <w:tblStyle w:val="4"/>
        <w:tblpPr w:leftFromText="30" w:rightFromText="230" w:vertAnchor="text" w:tblpXSpec="right" w:tblpYSpec="center"/>
        <w:tblW w:w="636" w:type="dxa"/>
        <w:tblCellSpacing w:w="15" w:type="dxa"/>
        <w:tblInd w:w="0" w:type="dxa"/>
        <w:tblLayout w:type="fixed"/>
        <w:tblCellMar>
          <w:top w:w="15" w:type="dxa"/>
          <w:left w:w="15" w:type="dxa"/>
          <w:bottom w:w="15" w:type="dxa"/>
          <w:right w:w="15" w:type="dxa"/>
        </w:tblCellMar>
      </w:tblPr>
      <w:tblGrid>
        <w:gridCol w:w="541"/>
        <w:gridCol w:w="95"/>
      </w:tblGrid>
      <w:tr w14:paraId="3A5DD601">
        <w:tblPrEx>
          <w:tblCellMar>
            <w:top w:w="15" w:type="dxa"/>
            <w:left w:w="15" w:type="dxa"/>
            <w:bottom w:w="15" w:type="dxa"/>
            <w:right w:w="15" w:type="dxa"/>
          </w:tblCellMar>
        </w:tblPrEx>
        <w:trPr>
          <w:tblCellSpacing w:w="15" w:type="dxa"/>
        </w:trPr>
        <w:tc>
          <w:tcPr>
            <w:tcW w:w="510" w:type="dxa"/>
            <w:vAlign w:val="center"/>
          </w:tcPr>
          <w:p w14:paraId="09DA4D76">
            <w:pPr>
              <w:widowControl/>
              <w:spacing w:line="180" w:lineRule="atLeast"/>
              <w:rPr>
                <w:rFonts w:hint="eastAsia" w:ascii="ˎ̥" w:hAnsi="ˎ̥" w:eastAsia="宋体" w:cs="宋体"/>
                <w:kern w:val="0"/>
                <w:sz w:val="12"/>
                <w:szCs w:val="12"/>
              </w:rPr>
            </w:pPr>
          </w:p>
        </w:tc>
        <w:tc>
          <w:tcPr>
            <w:tcW w:w="36" w:type="dxa"/>
            <w:vAlign w:val="center"/>
          </w:tcPr>
          <w:p w14:paraId="7C593C10">
            <w:pPr>
              <w:widowControl/>
              <w:spacing w:line="180" w:lineRule="atLeast"/>
              <w:jc w:val="center"/>
              <w:rPr>
                <w:rFonts w:hint="eastAsia" w:ascii="ˎ̥" w:hAnsi="ˎ̥" w:eastAsia="宋体" w:cs="宋体"/>
                <w:kern w:val="0"/>
                <w:sz w:val="12"/>
                <w:szCs w:val="12"/>
              </w:rPr>
            </w:pPr>
          </w:p>
        </w:tc>
      </w:tr>
    </w:tbl>
    <w:p w14:paraId="21261F7E">
      <w:pPr>
        <w:pStyle w:val="9"/>
        <w:numPr>
          <w:ilvl w:val="0"/>
          <w:numId w:val="2"/>
        </w:numPr>
        <w:spacing w:before="0" w:line="576" w:lineRule="exact"/>
        <w:rPr>
          <w:rFonts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基本职能及主要工作</w:t>
      </w:r>
    </w:p>
    <w:p w14:paraId="2F76E89A">
      <w:pPr>
        <w:pStyle w:val="9"/>
        <w:spacing w:before="0" w:line="576" w:lineRule="exact"/>
        <w:ind w:left="32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（一）阿坝州人大常委会机关职能简介</w:t>
      </w:r>
    </w:p>
    <w:p w14:paraId="5E54CE3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阿坝藏族羌族自治州人民代表大会及其常务委员会，作为地方国家权力机关，在州委的领导下，在上级人大及其常委会的指导下，按照宪法、民族区域自治法和地方组织法等法律法规赋予的职权，</w:t>
      </w:r>
      <w:r>
        <w:rPr>
          <w:rFonts w:hint="eastAsia" w:ascii="Times New Roman" w:hAnsi="Times New Roman" w:eastAsia="方正仿宋_GBK"/>
          <w:sz w:val="32"/>
          <w:szCs w:val="32"/>
          <w:lang w:val="en-US" w:eastAsia="zh-CN"/>
        </w:rPr>
        <w:t>推进宪法法律有效实施</w:t>
      </w:r>
      <w:r>
        <w:rPr>
          <w:rFonts w:ascii="Times New Roman" w:hAnsi="Times New Roman" w:eastAsia="方正仿宋_GBK"/>
          <w:sz w:val="32"/>
          <w:szCs w:val="32"/>
        </w:rPr>
        <w:t>，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开展自身建设，提高工作能力和水平，</w:t>
      </w:r>
      <w:r>
        <w:rPr>
          <w:rFonts w:hint="eastAsia" w:ascii="Times New Roman" w:hAnsi="Times New Roman" w:eastAsia="方正仿宋_GBK"/>
          <w:sz w:val="32"/>
          <w:szCs w:val="32"/>
          <w:lang w:val="en-US" w:eastAsia="zh-CN"/>
        </w:rPr>
        <w:t>保障州人大及常委会工作开展，服务高质量发展阿坝典范建设</w:t>
      </w:r>
      <w:r>
        <w:rPr>
          <w:rFonts w:ascii="Times New Roman" w:hAnsi="Times New Roman" w:eastAsia="方正仿宋_GBK"/>
          <w:sz w:val="32"/>
          <w:szCs w:val="32"/>
        </w:rPr>
        <w:t>。　</w:t>
      </w:r>
    </w:p>
    <w:p w14:paraId="23758279">
      <w:pPr>
        <w:pStyle w:val="9"/>
        <w:spacing w:before="0"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（二）阿坝州人大常委会机关202</w:t>
      </w:r>
      <w:r>
        <w:rPr>
          <w:rFonts w:hint="eastAsia" w:ascii="方正楷体_GBK" w:hAnsi="方正楷体_GBK" w:eastAsia="方正楷体_GBK" w:cs="方正楷体_GBK"/>
          <w:sz w:val="32"/>
          <w:szCs w:val="32"/>
          <w:lang w:val="en-US" w:eastAsia="zh-CN"/>
        </w:rPr>
        <w:t>6</w:t>
      </w:r>
      <w:r>
        <w:rPr>
          <w:rFonts w:hint="eastAsia" w:ascii="方正楷体_GBK" w:hAnsi="方正楷体_GBK" w:eastAsia="方正楷体_GBK" w:cs="方正楷体_GBK"/>
          <w:sz w:val="32"/>
          <w:szCs w:val="32"/>
        </w:rPr>
        <w:t>年重点工作</w:t>
      </w:r>
    </w:p>
    <w:p w14:paraId="571CC83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始终坚持党的全面领导，持续强化政治理论武装，用党的创新理论统揽、谋划、推动人大工作，确保人大工作正确政治方向。准确把握省委、州委对人大工作的新要求、对阿坝典范建设的新需求，严格执行重大事项请示报告制度，把中心所在、大局所需、群众所盼贯穿到人大工作的各方面、全过程</w:t>
      </w:r>
      <w:bookmarkStart w:id="0" w:name="OLE_LINK1"/>
      <w:r>
        <w:rPr>
          <w:rFonts w:hint="default" w:ascii="Times New Roman" w:hAnsi="Times New Roman" w:eastAsia="方正仿宋_GBK" w:cs="Times New Roman"/>
          <w:color w:val="auto"/>
          <w:sz w:val="32"/>
          <w:szCs w:val="32"/>
          <w:u w:val="none"/>
          <w:lang w:val="en-US" w:eastAsia="zh-CN"/>
        </w:rPr>
        <w:t>。坚持党的领导、充分发扬民主、严格依法办事，</w:t>
      </w:r>
      <w:bookmarkStart w:id="1" w:name="OLE_LINK2"/>
      <w:r>
        <w:rPr>
          <w:rFonts w:hint="default" w:ascii="Times New Roman" w:hAnsi="Times New Roman" w:eastAsia="方正仿宋_GBK" w:cs="Times New Roman"/>
          <w:color w:val="auto"/>
          <w:sz w:val="32"/>
          <w:szCs w:val="32"/>
          <w:u w:val="none"/>
          <w:lang w:val="en-US" w:eastAsia="zh-CN"/>
        </w:rPr>
        <w:t>全面指导县乡两级人大换届工作，</w:t>
      </w:r>
      <w:bookmarkEnd w:id="1"/>
      <w:r>
        <w:rPr>
          <w:rFonts w:hint="default" w:ascii="Times New Roman" w:hAnsi="Times New Roman" w:eastAsia="方正仿宋_GBK" w:cs="Times New Roman"/>
          <w:color w:val="auto"/>
          <w:sz w:val="32"/>
          <w:szCs w:val="32"/>
          <w:u w:val="none"/>
          <w:lang w:val="en-US" w:eastAsia="zh-CN"/>
        </w:rPr>
        <w:t>主动担负起州人大及其常委会换届工作职责，使之成为践行全过程人民民主的生动实践。</w:t>
      </w:r>
      <w:bookmarkEnd w:id="0"/>
    </w:p>
    <w:p w14:paraId="5B2C9EC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kern w:val="0"/>
          <w:sz w:val="32"/>
          <w:szCs w:val="32"/>
          <w:u w:val="none"/>
          <w:lang w:val="en-US" w:eastAsia="zh-CN"/>
        </w:rPr>
      </w:pPr>
      <w:r>
        <w:rPr>
          <w:rFonts w:hint="default" w:ascii="Times New Roman" w:hAnsi="Times New Roman" w:eastAsia="方正仿宋_GBK" w:cs="Times New Roman"/>
          <w:color w:val="auto"/>
          <w:kern w:val="0"/>
          <w:sz w:val="32"/>
          <w:szCs w:val="32"/>
          <w:u w:val="none"/>
          <w:lang w:val="en-US" w:eastAsia="zh-CN"/>
        </w:rPr>
        <w:t>充分发挥在立法中的主导作用，</w:t>
      </w:r>
      <w:r>
        <w:rPr>
          <w:rFonts w:hint="default" w:ascii="Times New Roman" w:hAnsi="Times New Roman" w:eastAsia="方正仿宋_GBK" w:cs="Times New Roman"/>
          <w:color w:val="auto"/>
          <w:sz w:val="32"/>
          <w:szCs w:val="32"/>
          <w:u w:val="none"/>
          <w:lang w:eastAsia="zh-CN"/>
        </w:rPr>
        <w:t>修改《阿坝</w:t>
      </w:r>
      <w:r>
        <w:rPr>
          <w:rFonts w:hint="default" w:ascii="Times New Roman" w:hAnsi="Times New Roman" w:eastAsia="方正仿宋_GBK" w:cs="Times New Roman"/>
          <w:color w:val="auto"/>
          <w:sz w:val="32"/>
          <w:szCs w:val="32"/>
          <w:u w:val="none"/>
        </w:rPr>
        <w:t>藏族羌族自治</w:t>
      </w:r>
      <w:r>
        <w:rPr>
          <w:rFonts w:hint="default" w:ascii="Times New Roman" w:hAnsi="Times New Roman" w:eastAsia="方正仿宋_GBK" w:cs="Times New Roman"/>
          <w:color w:val="auto"/>
          <w:sz w:val="32"/>
          <w:szCs w:val="32"/>
          <w:u w:val="none"/>
          <w:lang w:eastAsia="zh-CN"/>
        </w:rPr>
        <w:t>州立法条例》，</w:t>
      </w:r>
      <w:r>
        <w:rPr>
          <w:rFonts w:hint="default" w:ascii="Times New Roman" w:hAnsi="Times New Roman" w:eastAsia="方正仿宋_GBK" w:cs="Times New Roman"/>
          <w:color w:val="auto"/>
          <w:sz w:val="32"/>
          <w:szCs w:val="32"/>
          <w:u w:val="none"/>
          <w:lang w:val="en-US" w:eastAsia="zh-CN"/>
        </w:rPr>
        <w:t>进一步完善立法程序，更好提高立法质量。</w:t>
      </w:r>
      <w:r>
        <w:rPr>
          <w:rFonts w:hint="default" w:ascii="Times New Roman" w:hAnsi="Times New Roman" w:eastAsia="方正仿宋_GBK" w:cs="Times New Roman"/>
          <w:color w:val="auto"/>
          <w:sz w:val="32"/>
          <w:szCs w:val="32"/>
          <w:u w:val="none"/>
          <w:lang w:eastAsia="zh-CN"/>
        </w:rPr>
        <w:t>完成</w:t>
      </w:r>
      <w:r>
        <w:rPr>
          <w:rFonts w:hint="default" w:ascii="Times New Roman" w:hAnsi="Times New Roman" w:eastAsia="方正仿宋_GBK" w:cs="Times New Roman"/>
          <w:color w:val="auto"/>
          <w:kern w:val="0"/>
          <w:sz w:val="32"/>
          <w:szCs w:val="32"/>
          <w:u w:val="none"/>
        </w:rPr>
        <w:t>《</w:t>
      </w:r>
      <w:r>
        <w:rPr>
          <w:rFonts w:hint="default" w:ascii="Times New Roman" w:hAnsi="Times New Roman" w:eastAsia="方正仿宋_GBK" w:cs="Times New Roman"/>
          <w:color w:val="auto"/>
          <w:sz w:val="32"/>
          <w:szCs w:val="32"/>
          <w:u w:val="none"/>
        </w:rPr>
        <w:t>阿坝藏族羌族自治州旅游者权益保护条例</w:t>
      </w:r>
      <w:r>
        <w:rPr>
          <w:rFonts w:hint="default" w:ascii="Times New Roman" w:hAnsi="Times New Roman" w:eastAsia="方正仿宋_GBK" w:cs="Times New Roman"/>
          <w:color w:val="auto"/>
          <w:kern w:val="0"/>
          <w:sz w:val="32"/>
          <w:szCs w:val="32"/>
          <w:u w:val="none"/>
        </w:rPr>
        <w:t>》</w:t>
      </w:r>
      <w:r>
        <w:rPr>
          <w:rFonts w:hint="default" w:ascii="Times New Roman" w:hAnsi="Times New Roman" w:eastAsia="方正仿宋_GBK" w:cs="Times New Roman"/>
          <w:color w:val="auto"/>
          <w:kern w:val="0"/>
          <w:sz w:val="32"/>
          <w:szCs w:val="32"/>
          <w:u w:val="none"/>
          <w:lang w:eastAsia="zh-CN"/>
        </w:rPr>
        <w:t>《阿坝</w:t>
      </w:r>
      <w:r>
        <w:rPr>
          <w:rFonts w:hint="default" w:ascii="Times New Roman" w:hAnsi="Times New Roman" w:eastAsia="方正仿宋_GBK" w:cs="Times New Roman"/>
          <w:color w:val="auto"/>
          <w:sz w:val="32"/>
          <w:szCs w:val="32"/>
          <w:u w:val="none"/>
        </w:rPr>
        <w:t>藏族羌族自治</w:t>
      </w:r>
      <w:r>
        <w:rPr>
          <w:rFonts w:hint="default" w:ascii="Times New Roman" w:hAnsi="Times New Roman" w:eastAsia="方正仿宋_GBK" w:cs="Times New Roman"/>
          <w:color w:val="auto"/>
          <w:kern w:val="0"/>
          <w:sz w:val="32"/>
          <w:szCs w:val="32"/>
          <w:u w:val="none"/>
          <w:lang w:eastAsia="zh-CN"/>
        </w:rPr>
        <w:t>州人民代表大会关于废止〈阿坝</w:t>
      </w:r>
      <w:r>
        <w:rPr>
          <w:rFonts w:hint="default" w:ascii="Times New Roman" w:hAnsi="Times New Roman" w:eastAsia="方正仿宋_GBK" w:cs="Times New Roman"/>
          <w:color w:val="auto"/>
          <w:sz w:val="32"/>
          <w:szCs w:val="32"/>
          <w:u w:val="none"/>
        </w:rPr>
        <w:t>藏族羌族自治</w:t>
      </w:r>
      <w:r>
        <w:rPr>
          <w:rFonts w:hint="default" w:ascii="Times New Roman" w:hAnsi="Times New Roman" w:eastAsia="方正仿宋_GBK" w:cs="Times New Roman"/>
          <w:color w:val="auto"/>
          <w:kern w:val="0"/>
          <w:sz w:val="32"/>
          <w:szCs w:val="32"/>
          <w:u w:val="none"/>
          <w:lang w:eastAsia="zh-CN"/>
        </w:rPr>
        <w:t>州野生中药材、菌类植物资源保护管理条例〉的决定》</w:t>
      </w:r>
      <w:r>
        <w:rPr>
          <w:rFonts w:hint="default" w:ascii="Times New Roman" w:hAnsi="Times New Roman" w:eastAsia="方正仿宋_GBK" w:cs="Times New Roman"/>
          <w:color w:val="auto"/>
          <w:sz w:val="32"/>
          <w:szCs w:val="32"/>
          <w:u w:val="none"/>
          <w:lang w:eastAsia="zh-CN"/>
        </w:rPr>
        <w:t>报批</w:t>
      </w:r>
      <w:r>
        <w:rPr>
          <w:rFonts w:hint="default" w:ascii="Times New Roman" w:hAnsi="Times New Roman" w:eastAsia="方正仿宋_GBK" w:cs="Times New Roman"/>
          <w:color w:val="auto"/>
          <w:sz w:val="32"/>
          <w:szCs w:val="32"/>
          <w:u w:val="none"/>
        </w:rPr>
        <w:t>工作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完成</w:t>
      </w:r>
      <w:r>
        <w:rPr>
          <w:rFonts w:hint="default" w:ascii="Times New Roman" w:hAnsi="Times New Roman" w:eastAsia="方正仿宋_GBK" w:cs="Times New Roman"/>
          <w:b w:val="0"/>
          <w:bCs w:val="0"/>
          <w:i w:val="0"/>
          <w:iCs w:val="0"/>
          <w:color w:val="auto"/>
          <w:kern w:val="0"/>
          <w:sz w:val="32"/>
          <w:szCs w:val="32"/>
          <w:highlight w:val="none"/>
          <w:u w:val="none"/>
          <w:vertAlign w:val="baseline"/>
          <w:lang w:val="en-US" w:eastAsia="zh-CN" w:bidi="ar-SA"/>
        </w:rPr>
        <w:t>《阿坝藏族羌族自治州实施〈四川省电力设施保护和供用电秩序维护条例〉补充规定》二审、三审</w:t>
      </w:r>
      <w:r>
        <w:rPr>
          <w:rFonts w:hint="default" w:ascii="Times New Roman" w:hAnsi="Times New Roman" w:eastAsia="方正仿宋_GBK" w:cs="Times New Roman"/>
          <w:color w:val="auto"/>
          <w:sz w:val="32"/>
          <w:szCs w:val="32"/>
          <w:u w:val="none"/>
          <w:lang w:eastAsia="zh-CN"/>
        </w:rPr>
        <w:t>工作，</w:t>
      </w:r>
      <w:r>
        <w:rPr>
          <w:rFonts w:hint="default" w:ascii="Times New Roman" w:hAnsi="Times New Roman" w:eastAsia="方正仿宋_GBK" w:cs="Times New Roman"/>
          <w:color w:val="auto"/>
          <w:sz w:val="32"/>
          <w:szCs w:val="32"/>
          <w:u w:val="none"/>
        </w:rPr>
        <w:t>依法做好废止《阿坝藏族羌族自治州农村扶贫开发条例》的相关工作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kern w:val="0"/>
          <w:sz w:val="32"/>
          <w:szCs w:val="32"/>
          <w:u w:val="none"/>
          <w:lang w:val="en-US" w:eastAsia="zh-CN"/>
        </w:rPr>
        <w:t>围绕州</w:t>
      </w:r>
      <w:r>
        <w:rPr>
          <w:rFonts w:hint="eastAsia" w:ascii="Times New Roman" w:hAnsi="Times New Roman" w:eastAsia="方正仿宋_GBK" w:cs="Times New Roman"/>
          <w:color w:val="auto"/>
          <w:kern w:val="0"/>
          <w:sz w:val="32"/>
          <w:szCs w:val="32"/>
          <w:u w:val="none"/>
          <w:lang w:val="en-US" w:eastAsia="zh-CN"/>
        </w:rPr>
        <w:t>委</w:t>
      </w:r>
      <w:r>
        <w:rPr>
          <w:rFonts w:hint="default" w:ascii="Times New Roman" w:hAnsi="Times New Roman" w:eastAsia="方正仿宋_GBK" w:cs="Times New Roman"/>
          <w:color w:val="auto"/>
          <w:kern w:val="0"/>
          <w:sz w:val="32"/>
          <w:szCs w:val="32"/>
          <w:u w:val="none"/>
          <w:lang w:val="en-US" w:eastAsia="zh-CN"/>
        </w:rPr>
        <w:t>“1610”系统部署中的年度重点工作开展监督，认真开展国民经济和社会发展计划、预算执行情况等事项的调研、审查工作，听取和审议州人民政府关于现代农牧产业发展、</w:t>
      </w:r>
      <w:r>
        <w:rPr>
          <w:rFonts w:hint="default" w:ascii="Times New Roman" w:hAnsi="Times New Roman" w:eastAsia="方正仿宋_GBK" w:cs="Times New Roman"/>
          <w:strike w:val="0"/>
          <w:dstrike w:val="0"/>
          <w:color w:val="auto"/>
          <w:kern w:val="0"/>
          <w:sz w:val="32"/>
          <w:szCs w:val="32"/>
          <w:u w:val="none"/>
          <w:lang w:val="en-US" w:eastAsia="zh-CN"/>
        </w:rPr>
        <w:t>外商直接投资等工作开展</w:t>
      </w:r>
      <w:r>
        <w:rPr>
          <w:rFonts w:hint="default" w:ascii="Times New Roman" w:hAnsi="Times New Roman" w:eastAsia="方正仿宋_GBK" w:cs="Times New Roman"/>
          <w:color w:val="auto"/>
          <w:kern w:val="0"/>
          <w:sz w:val="32"/>
          <w:szCs w:val="32"/>
          <w:u w:val="none"/>
          <w:lang w:val="en-US" w:eastAsia="zh-CN"/>
        </w:rPr>
        <w:t>情况的专项报告，开展“十五五”规划纲要实施情况专项监督。在推动生态文明建设中，全面审议州人民政府关于2025年度全州环境状况和环境保护目标完成情况、四川省第三轮环境保护督察反馈问题整改情况的报告，开展《四川省河湖长制条例》贯彻实施情况的检查，持续组织开展阿坝环保世纪行系列宣传活动。在推进依法治州中，精心组织对州人民政府2025年度法治政府建设、“大美阿坝·文旅警务”和州人民检察院行刑衔接等工作的审议，持续深化对政府部门工作人员履职评议工作。在推动民生改善中，开展县（市）城乡居民最低生活保障工作专项审议，对《中华人民共和国社会保险法》贯彻实施情况进行检查，对革命老区建设工作开展代表集中视察，持续开展民生实事项目推进情况跟踪监督，指导县乡两级人大深化民生实事票决制工作。</w:t>
      </w:r>
    </w:p>
    <w:p w14:paraId="2A57379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坚持代表在人大工作中的基础和主体地位，深化</w:t>
      </w:r>
      <w:r>
        <w:rPr>
          <w:rFonts w:hint="default" w:ascii="Times New Roman" w:hAnsi="Times New Roman" w:eastAsia="方正仿宋_GBK" w:cs="Times New Roman"/>
          <w:color w:val="auto"/>
          <w:sz w:val="32"/>
          <w:szCs w:val="32"/>
          <w:u w:val="none"/>
        </w:rPr>
        <w:t>人大常委会组成人员联系人大代表、各级人大代表联系人民群众制度</w:t>
      </w:r>
      <w:r>
        <w:rPr>
          <w:rFonts w:hint="default" w:ascii="Times New Roman" w:hAnsi="Times New Roman" w:eastAsia="方正仿宋_GBK" w:cs="Times New Roman"/>
          <w:color w:val="auto"/>
          <w:sz w:val="32"/>
          <w:szCs w:val="32"/>
          <w:u w:val="none"/>
          <w:lang w:eastAsia="zh-CN"/>
        </w:rPr>
        <w:t>的</w:t>
      </w:r>
      <w:r>
        <w:rPr>
          <w:rFonts w:hint="default" w:ascii="Times New Roman" w:hAnsi="Times New Roman" w:eastAsia="方正仿宋_GBK" w:cs="Times New Roman"/>
          <w:color w:val="auto"/>
          <w:sz w:val="32"/>
          <w:szCs w:val="32"/>
          <w:u w:val="none"/>
          <w:lang w:val="en-US" w:eastAsia="zh-CN"/>
        </w:rPr>
        <w:t>同时</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组织</w:t>
      </w:r>
      <w:r>
        <w:rPr>
          <w:rFonts w:hint="default" w:ascii="Times New Roman" w:hAnsi="Times New Roman" w:eastAsia="方正仿宋_GBK" w:cs="Times New Roman"/>
          <w:color w:val="auto"/>
          <w:sz w:val="32"/>
          <w:szCs w:val="32"/>
          <w:u w:val="none"/>
        </w:rPr>
        <w:t>基层人大代表</w:t>
      </w:r>
      <w:r>
        <w:rPr>
          <w:rFonts w:hint="default" w:ascii="Times New Roman" w:hAnsi="Times New Roman" w:eastAsia="方正仿宋_GBK" w:cs="Times New Roman"/>
          <w:color w:val="auto"/>
          <w:sz w:val="32"/>
          <w:szCs w:val="32"/>
          <w:u w:val="none"/>
          <w:lang w:val="en-US" w:eastAsia="zh-CN"/>
        </w:rPr>
        <w:t>参与</w:t>
      </w:r>
      <w:r>
        <w:rPr>
          <w:rFonts w:hint="default" w:ascii="Times New Roman" w:hAnsi="Times New Roman" w:eastAsia="方正仿宋_GBK" w:cs="Times New Roman"/>
          <w:color w:val="auto"/>
          <w:sz w:val="32"/>
          <w:szCs w:val="32"/>
          <w:u w:val="none"/>
        </w:rPr>
        <w:t>州人大常委会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州人大各专门委员会</w:t>
      </w:r>
      <w:r>
        <w:rPr>
          <w:rFonts w:hint="default" w:ascii="Times New Roman" w:hAnsi="Times New Roman" w:eastAsia="方正仿宋_GBK" w:cs="Times New Roman"/>
          <w:color w:val="auto"/>
          <w:sz w:val="32"/>
          <w:szCs w:val="32"/>
          <w:u w:val="none"/>
          <w:lang w:val="en-US" w:eastAsia="zh-CN"/>
        </w:rPr>
        <w:t>和</w:t>
      </w:r>
      <w:r>
        <w:rPr>
          <w:rFonts w:hint="default" w:ascii="Times New Roman" w:hAnsi="Times New Roman" w:eastAsia="方正仿宋_GBK" w:cs="Times New Roman"/>
          <w:color w:val="auto"/>
          <w:sz w:val="32"/>
          <w:szCs w:val="32"/>
          <w:u w:val="none"/>
        </w:rPr>
        <w:t>州人大常委会</w:t>
      </w:r>
      <w:r>
        <w:rPr>
          <w:rFonts w:hint="default" w:ascii="Times New Roman" w:hAnsi="Times New Roman" w:eastAsia="方正仿宋_GBK" w:cs="Times New Roman"/>
          <w:color w:val="auto"/>
          <w:sz w:val="32"/>
          <w:szCs w:val="32"/>
          <w:u w:val="none"/>
          <w:lang w:val="en-US" w:eastAsia="zh-CN"/>
        </w:rPr>
        <w:t>各</w:t>
      </w:r>
      <w:r>
        <w:rPr>
          <w:rFonts w:hint="default" w:ascii="Times New Roman" w:hAnsi="Times New Roman" w:eastAsia="方正仿宋_GBK" w:cs="Times New Roman"/>
          <w:color w:val="auto"/>
          <w:sz w:val="32"/>
          <w:szCs w:val="32"/>
          <w:u w:val="none"/>
        </w:rPr>
        <w:t>办事工作机构</w:t>
      </w:r>
      <w:r>
        <w:rPr>
          <w:rFonts w:hint="default" w:ascii="Times New Roman" w:hAnsi="Times New Roman" w:eastAsia="方正仿宋_GBK" w:cs="Times New Roman"/>
          <w:color w:val="auto"/>
          <w:sz w:val="32"/>
          <w:szCs w:val="32"/>
          <w:u w:val="none"/>
          <w:lang w:val="en-US" w:eastAsia="zh-CN"/>
        </w:rPr>
        <w:t>召开的各种会议和集中履职活动</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推进</w:t>
      </w:r>
      <w:r>
        <w:rPr>
          <w:rFonts w:hint="default" w:ascii="Times New Roman" w:hAnsi="Times New Roman" w:eastAsia="方正仿宋_GBK" w:cs="Times New Roman"/>
          <w:color w:val="auto"/>
          <w:sz w:val="32"/>
          <w:szCs w:val="32"/>
          <w:u w:val="none"/>
        </w:rPr>
        <w:t>“一府一委两院”</w:t>
      </w:r>
      <w:r>
        <w:rPr>
          <w:rFonts w:hint="default" w:ascii="Times New Roman" w:hAnsi="Times New Roman" w:eastAsia="方正仿宋_GBK" w:cs="Times New Roman"/>
          <w:color w:val="auto"/>
          <w:sz w:val="32"/>
          <w:szCs w:val="32"/>
          <w:u w:val="none"/>
          <w:lang w:val="en-US" w:eastAsia="zh-CN"/>
        </w:rPr>
        <w:t>联系人大代表工作，</w:t>
      </w:r>
      <w:r>
        <w:rPr>
          <w:rFonts w:hint="default" w:ascii="Times New Roman" w:hAnsi="Times New Roman" w:eastAsia="方正仿宋_GBK" w:cs="Times New Roman"/>
          <w:color w:val="auto"/>
          <w:sz w:val="32"/>
          <w:szCs w:val="32"/>
          <w:u w:val="none"/>
        </w:rPr>
        <w:t>持续拓展代表参与人大工作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反映人民意愿的渠道</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有针对性加强代表培训，完善代表履职平台建设，规范</w:t>
      </w:r>
      <w:r>
        <w:rPr>
          <w:rFonts w:hint="default" w:ascii="Times New Roman" w:hAnsi="Times New Roman" w:eastAsia="方正仿宋_GBK" w:cs="Times New Roman"/>
          <w:color w:val="auto"/>
          <w:sz w:val="32"/>
          <w:szCs w:val="32"/>
          <w:u w:val="none"/>
        </w:rPr>
        <w:t>闭会期间代表活动，推动代表常态化履职</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进一步健全代表履职监督管理机制，不断规范代表履职行为</w:t>
      </w:r>
      <w:r>
        <w:rPr>
          <w:rFonts w:hint="default" w:ascii="Times New Roman" w:hAnsi="Times New Roman" w:eastAsia="方正仿宋_GBK" w:cs="Times New Roman"/>
          <w:color w:val="auto"/>
          <w:sz w:val="32"/>
          <w:szCs w:val="32"/>
          <w:u w:val="none"/>
          <w:lang w:eastAsia="zh-CN"/>
        </w:rPr>
        <w:t>。</w:t>
      </w:r>
    </w:p>
    <w:p w14:paraId="138DB3F4">
      <w:pPr>
        <w:pStyle w:val="9"/>
        <w:spacing w:before="0" w:line="576" w:lineRule="exact"/>
        <w:ind w:firstLine="320" w:firstLineChars="100"/>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 xml:space="preserve">    全面落实铸忠诚、精业务、强作风要求，坚持以党的政治建设为统领，严格执行“第一议题”制度，落实党的全面领导，加强业务知识学习，进一步提升人大工作的政治水准和专业水平。抓好人大干部队伍建设，持续改进工作作风，增强履职自觉性。深化对人大工作规律和特点的认识，加强人大宣传工作，讲好阿坝人大故事、民主实践故事，推动形成有利</w:t>
      </w:r>
      <w:r>
        <w:rPr>
          <w:rFonts w:hint="eastAsia" w:ascii="Times New Roman" w:hAnsi="Times New Roman" w:eastAsia="方正仿宋_GBK" w:cs="Times New Roman"/>
          <w:color w:val="auto"/>
          <w:sz w:val="32"/>
          <w:szCs w:val="32"/>
          <w:u w:val="none"/>
          <w:lang w:val="en-US" w:eastAsia="zh-CN"/>
        </w:rPr>
        <w:t>。</w:t>
      </w:r>
    </w:p>
    <w:p w14:paraId="1E6B573C">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二、部门预算单位构成</w:t>
      </w:r>
    </w:p>
    <w:p w14:paraId="1DC71392">
      <w:pPr>
        <w:pStyle w:val="9"/>
        <w:spacing w:before="0" w:line="576"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sz w:val="32"/>
          <w:szCs w:val="32"/>
        </w:rPr>
        <w:t xml:space="preserve"> 阿坝州人大常委会办公室属一级预算单位，下属二级预算单位</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个，其中：行政单位1个；参照公务员法管理的事业单位0个；其他事业单位1个：阿坝州人大常委会办公室</w:t>
      </w:r>
      <w:r>
        <w:rPr>
          <w:rFonts w:hint="eastAsia" w:ascii="Times New Roman" w:hAnsi="Times New Roman" w:eastAsia="方正仿宋_GBK"/>
          <w:sz w:val="32"/>
          <w:szCs w:val="32"/>
          <w:lang w:val="en-US" w:eastAsia="zh-CN"/>
        </w:rPr>
        <w:t>预算联网和</w:t>
      </w:r>
      <w:r>
        <w:rPr>
          <w:rFonts w:ascii="Times New Roman" w:hAnsi="Times New Roman" w:eastAsia="方正仿宋_GBK"/>
          <w:sz w:val="32"/>
          <w:szCs w:val="32"/>
        </w:rPr>
        <w:t>信息中心</w:t>
      </w:r>
      <w:r>
        <w:rPr>
          <w:rFonts w:hint="eastAsia" w:ascii="Times New Roman" w:hAnsi="Times New Roman" w:eastAsia="方正仿宋_GBK"/>
          <w:sz w:val="32"/>
          <w:szCs w:val="32"/>
          <w:lang w:eastAsia="zh-CN"/>
        </w:rPr>
        <w:t>。</w:t>
      </w:r>
    </w:p>
    <w:p w14:paraId="013976D2">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433DB710">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按照综合预算的原则，阿坝州人大常委会办公室所有收入和支出均纳入部门预算管理。收入包括：一般公共预算拨款收入</w:t>
      </w:r>
      <w:r>
        <w:rPr>
          <w:rFonts w:hint="eastAsia" w:ascii="Times New Roman" w:hAnsi="Times New Roman" w:eastAsia="方正仿宋_GBK"/>
          <w:sz w:val="32"/>
          <w:szCs w:val="32"/>
          <w:lang w:val="en-US" w:eastAsia="zh-CN"/>
        </w:rPr>
        <w:t>3,930.68</w:t>
      </w:r>
      <w:r>
        <w:rPr>
          <w:rFonts w:ascii="Times New Roman" w:hAnsi="Times New Roman" w:eastAsia="方正仿宋_GBK"/>
          <w:sz w:val="32"/>
          <w:szCs w:val="32"/>
        </w:rPr>
        <w:t>万元，事业收入0万元，其他收入0万元，上年结转</w:t>
      </w:r>
      <w:r>
        <w:rPr>
          <w:rFonts w:hint="eastAsia" w:ascii="Times New Roman" w:hAnsi="Times New Roman" w:eastAsia="方正仿宋_GBK"/>
          <w:sz w:val="32"/>
          <w:szCs w:val="32"/>
        </w:rPr>
        <w:t>0</w:t>
      </w:r>
      <w:r>
        <w:rPr>
          <w:rFonts w:ascii="Times New Roman" w:hAnsi="Times New Roman" w:eastAsia="方正仿宋_GBK"/>
          <w:sz w:val="32"/>
          <w:szCs w:val="32"/>
        </w:rPr>
        <w:t>万元；支出包括：一般公共服务支出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257.67</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354.34</w:t>
      </w:r>
      <w:r>
        <w:rPr>
          <w:rFonts w:ascii="Times New Roman" w:hAnsi="Times New Roman" w:eastAsia="方正仿宋_GBK"/>
          <w:sz w:val="32"/>
          <w:szCs w:val="32"/>
        </w:rPr>
        <w:t>万元，</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141.47</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177.20</w:t>
      </w:r>
      <w:r>
        <w:rPr>
          <w:rFonts w:ascii="Times New Roman" w:hAnsi="Times New Roman" w:eastAsia="方正仿宋_GBK"/>
          <w:sz w:val="32"/>
          <w:szCs w:val="32"/>
        </w:rPr>
        <w:t>万元。阿坝州人大常委会办公室202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w:t>
      </w:r>
      <w:r>
        <w:rPr>
          <w:rFonts w:hint="eastAsia" w:ascii="Times New Roman" w:hAnsi="Times New Roman" w:eastAsia="方正仿宋_GBK"/>
          <w:sz w:val="32"/>
          <w:szCs w:val="32"/>
          <w:lang w:val="en-US" w:eastAsia="zh-CN"/>
        </w:rPr>
        <w:t>支</w:t>
      </w:r>
      <w:r>
        <w:rPr>
          <w:rFonts w:ascii="Times New Roman" w:hAnsi="Times New Roman" w:eastAsia="方正仿宋_GBK"/>
          <w:sz w:val="32"/>
          <w:szCs w:val="32"/>
        </w:rPr>
        <w:t>总预算</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w:t>
      </w:r>
      <w:r>
        <w:rPr>
          <w:rFonts w:hint="eastAsia" w:ascii="Times New Roman" w:hAnsi="Times New Roman" w:eastAsia="方正仿宋_GBK"/>
          <w:sz w:val="32"/>
          <w:szCs w:val="32"/>
          <w:lang w:val="en-US" w:eastAsia="zh-CN"/>
        </w:rPr>
        <w:t>支</w:t>
      </w:r>
      <w:r>
        <w:rPr>
          <w:rFonts w:ascii="Times New Roman" w:hAnsi="Times New Roman" w:eastAsia="方正仿宋_GBK"/>
          <w:sz w:val="32"/>
          <w:szCs w:val="32"/>
        </w:rPr>
        <w:t>预算总数</w:t>
      </w:r>
      <w:r>
        <w:rPr>
          <w:rFonts w:hint="eastAsia" w:ascii="Times New Roman" w:hAnsi="Times New Roman" w:eastAsia="方正仿宋_GBK"/>
          <w:sz w:val="32"/>
          <w:szCs w:val="32"/>
          <w:lang w:val="en-US" w:eastAsia="zh-CN"/>
        </w:rPr>
        <w:t>减少95.52</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严格执行中央八项规定精神，厉行节约，压减行政运行经费</w:t>
      </w:r>
      <w:r>
        <w:rPr>
          <w:rFonts w:hint="eastAsia" w:ascii="Times New Roman" w:hAnsi="Times New Roman" w:eastAsia="方正仿宋_GBK"/>
          <w:sz w:val="32"/>
          <w:szCs w:val="32"/>
        </w:rPr>
        <w:t>。</w:t>
      </w:r>
    </w:p>
    <w:p w14:paraId="60F23B58">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（一）收入预算情况</w:t>
      </w:r>
    </w:p>
    <w:p w14:paraId="66CE06B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年收入预算</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万元，其中：上年结转</w:t>
      </w:r>
      <w:r>
        <w:rPr>
          <w:rFonts w:hint="eastAsia" w:ascii="Times New Roman" w:hAnsi="Times New Roman" w:eastAsia="方正仿宋_GBK"/>
          <w:sz w:val="32"/>
          <w:szCs w:val="32"/>
        </w:rPr>
        <w:t>0</w:t>
      </w:r>
      <w:r>
        <w:rPr>
          <w:rFonts w:ascii="Times New Roman" w:hAnsi="Times New Roman" w:eastAsia="方正仿宋_GBK"/>
          <w:sz w:val="32"/>
          <w:szCs w:val="32"/>
        </w:rPr>
        <w:t>万元，占</w:t>
      </w:r>
      <w:r>
        <w:rPr>
          <w:rFonts w:hint="eastAsia" w:ascii="Times New Roman" w:hAnsi="Times New Roman" w:eastAsia="方正仿宋_GBK"/>
          <w:sz w:val="32"/>
          <w:szCs w:val="32"/>
        </w:rPr>
        <w:t>0</w:t>
      </w:r>
      <w:r>
        <w:rPr>
          <w:rFonts w:ascii="Times New Roman" w:hAnsi="Times New Roman" w:eastAsia="方正仿宋_GBK"/>
          <w:sz w:val="32"/>
          <w:szCs w:val="32"/>
        </w:rPr>
        <w:t>%；一般公共预算拨款收入</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万元，占</w:t>
      </w:r>
      <w:r>
        <w:rPr>
          <w:rFonts w:hint="eastAsia" w:ascii="Times New Roman" w:hAnsi="Times New Roman" w:eastAsia="方正仿宋_GBK"/>
          <w:sz w:val="32"/>
          <w:szCs w:val="32"/>
        </w:rPr>
        <w:t>100</w:t>
      </w:r>
      <w:r>
        <w:rPr>
          <w:rFonts w:ascii="Times New Roman" w:hAnsi="Times New Roman" w:eastAsia="方正仿宋_GBK"/>
          <w:sz w:val="32"/>
          <w:szCs w:val="32"/>
        </w:rPr>
        <w:t>%；事业收入0万元，占0%；其他收入0万元，占0%。</w:t>
      </w:r>
    </w:p>
    <w:p w14:paraId="2D58441D">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2BF21DAC">
      <w:pPr>
        <w:pStyle w:val="9"/>
        <w:spacing w:before="0" w:line="576" w:lineRule="exact"/>
        <w:rPr>
          <w:rFonts w:ascii="Times New Roman" w:hAnsi="Times New Roman" w:eastAsia="方正仿宋_GBK"/>
          <w:sz w:val="32"/>
          <w:szCs w:val="32"/>
        </w:rPr>
      </w:pP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年支出预算</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万元，其中：基本支出3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136.68</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79.80</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794.00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20.20</w:t>
      </w:r>
      <w:r>
        <w:rPr>
          <w:rFonts w:ascii="Times New Roman" w:hAnsi="Times New Roman" w:eastAsia="方正仿宋_GBK"/>
          <w:sz w:val="32"/>
          <w:szCs w:val="32"/>
        </w:rPr>
        <w:t>%。</w:t>
      </w:r>
    </w:p>
    <w:p w14:paraId="08F57534">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四、财政拨款收支预算情况说明</w:t>
      </w:r>
    </w:p>
    <w:p w14:paraId="77867933">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年财政拨款收</w:t>
      </w:r>
      <w:r>
        <w:rPr>
          <w:rFonts w:hint="eastAsia" w:ascii="Times New Roman" w:hAnsi="Times New Roman" w:eastAsia="方正仿宋_GBK"/>
          <w:sz w:val="32"/>
          <w:szCs w:val="32"/>
          <w:lang w:val="en-US" w:eastAsia="zh-CN"/>
        </w:rPr>
        <w:t>支</w:t>
      </w:r>
      <w:r>
        <w:rPr>
          <w:rFonts w:ascii="Times New Roman" w:hAnsi="Times New Roman" w:eastAsia="方正仿宋_GBK"/>
          <w:sz w:val="32"/>
          <w:szCs w:val="32"/>
        </w:rPr>
        <w:t>总预算</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年财政拨款收</w:t>
      </w:r>
      <w:r>
        <w:rPr>
          <w:rFonts w:hint="eastAsia" w:ascii="Times New Roman" w:hAnsi="Times New Roman" w:eastAsia="方正仿宋_GBK"/>
          <w:sz w:val="32"/>
          <w:szCs w:val="32"/>
          <w:lang w:val="en-US" w:eastAsia="zh-CN"/>
        </w:rPr>
        <w:t>支</w:t>
      </w:r>
      <w:r>
        <w:rPr>
          <w:rFonts w:ascii="Times New Roman" w:hAnsi="Times New Roman" w:eastAsia="方正仿宋_GBK"/>
          <w:sz w:val="32"/>
          <w:szCs w:val="32"/>
        </w:rPr>
        <w:t>总预算</w:t>
      </w:r>
      <w:r>
        <w:rPr>
          <w:rFonts w:hint="eastAsia" w:ascii="Times New Roman" w:hAnsi="Times New Roman" w:eastAsia="方正仿宋_GBK"/>
          <w:sz w:val="32"/>
          <w:szCs w:val="32"/>
          <w:lang w:val="en-US" w:eastAsia="zh-CN"/>
        </w:rPr>
        <w:t>减少95.52</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严格执行中央八项规定精神，厉行节约，压减行政运行经费</w:t>
      </w:r>
      <w:r>
        <w:rPr>
          <w:rFonts w:hint="eastAsia" w:ascii="Times New Roman" w:hAnsi="Times New Roman" w:eastAsia="方正仿宋_GBK"/>
          <w:sz w:val="32"/>
          <w:szCs w:val="32"/>
        </w:rPr>
        <w:t>。</w:t>
      </w:r>
      <w:r>
        <w:rPr>
          <w:rFonts w:ascii="Times New Roman" w:hAnsi="Times New Roman" w:eastAsia="方正仿宋_GBK"/>
          <w:sz w:val="32"/>
          <w:szCs w:val="32"/>
        </w:rPr>
        <w:t>收入包括：本年一般公共预算拨款收入3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万元，上年结转财政拨款资金</w:t>
      </w:r>
      <w:r>
        <w:rPr>
          <w:rFonts w:hint="eastAsia" w:ascii="Times New Roman" w:hAnsi="Times New Roman" w:eastAsia="方正仿宋_GBK"/>
          <w:sz w:val="32"/>
          <w:szCs w:val="32"/>
        </w:rPr>
        <w:t>0</w:t>
      </w:r>
      <w:r>
        <w:rPr>
          <w:rFonts w:ascii="Times New Roman" w:hAnsi="Times New Roman" w:eastAsia="方正仿宋_GBK"/>
          <w:sz w:val="32"/>
          <w:szCs w:val="32"/>
        </w:rPr>
        <w:t>万元</w:t>
      </w:r>
      <w:r>
        <w:rPr>
          <w:rFonts w:hint="eastAsia" w:ascii="Times New Roman" w:hAnsi="Times New Roman" w:eastAsia="方正仿宋_GBK"/>
          <w:sz w:val="32"/>
          <w:szCs w:val="32"/>
        </w:rPr>
        <w:t>。</w:t>
      </w:r>
    </w:p>
    <w:p w14:paraId="686DF880">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支出包括：一般公共服务支出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257.68</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354.34</w:t>
      </w:r>
      <w:r>
        <w:rPr>
          <w:rFonts w:ascii="Times New Roman" w:hAnsi="Times New Roman" w:eastAsia="方正仿宋_GBK"/>
          <w:sz w:val="32"/>
          <w:szCs w:val="32"/>
        </w:rPr>
        <w:t>万元，医疗卫生与计划生育支出</w:t>
      </w:r>
      <w:r>
        <w:rPr>
          <w:rFonts w:hint="eastAsia" w:ascii="Times New Roman" w:hAnsi="Times New Roman" w:eastAsia="方正仿宋_GBK"/>
          <w:sz w:val="32"/>
          <w:szCs w:val="32"/>
          <w:lang w:val="en-US" w:eastAsia="zh-CN"/>
        </w:rPr>
        <w:t>141.47</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177.20</w:t>
      </w:r>
      <w:r>
        <w:rPr>
          <w:rFonts w:ascii="Times New Roman" w:hAnsi="Times New Roman" w:eastAsia="方正仿宋_GBK"/>
          <w:sz w:val="32"/>
          <w:szCs w:val="32"/>
        </w:rPr>
        <w:t>万元。</w:t>
      </w:r>
    </w:p>
    <w:p w14:paraId="27CAC48B">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283F0CEF">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2AD0F807">
      <w:pPr>
        <w:pStyle w:val="9"/>
        <w:spacing w:before="0" w:line="576" w:lineRule="exact"/>
        <w:ind w:firstLine="640" w:firstLineChars="200"/>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年一般公共预算当年拨款</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930.68</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w:t>
      </w:r>
      <w:r>
        <w:rPr>
          <w:rFonts w:hint="eastAsia" w:ascii="Times New Roman" w:hAnsi="Times New Roman" w:eastAsia="方正仿宋_GBK"/>
          <w:sz w:val="32"/>
          <w:szCs w:val="32"/>
          <w:lang w:val="en-US" w:eastAsia="zh-CN"/>
        </w:rPr>
        <w:t>减少95.52</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增加46.44</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政策调资</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减少141.96</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2026年</w:t>
      </w:r>
      <w:r>
        <w:rPr>
          <w:rFonts w:hint="eastAsia" w:ascii="Times New Roman" w:hAnsi="Times New Roman" w:eastAsia="方正仿宋_GBK"/>
          <w:sz w:val="32"/>
          <w:szCs w:val="32"/>
        </w:rPr>
        <w:t>项目</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w:t>
      </w:r>
    </w:p>
    <w:p w14:paraId="66608F61">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6DB7AF7C">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　一般公共服务支出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257.68</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82.88</w:t>
      </w:r>
      <w:r>
        <w:rPr>
          <w:rFonts w:ascii="Times New Roman" w:hAnsi="Times New Roman" w:eastAsia="方正仿宋_GBK"/>
          <w:sz w:val="32"/>
          <w:szCs w:val="32"/>
        </w:rPr>
        <w:t>%；教育支出0万元，占0%；文化体育与传媒支出0万元，占0%；社会保障和就业支出</w:t>
      </w:r>
      <w:r>
        <w:rPr>
          <w:rFonts w:hint="eastAsia" w:ascii="Times New Roman" w:hAnsi="Times New Roman" w:eastAsia="方正仿宋_GBK"/>
          <w:sz w:val="32"/>
          <w:szCs w:val="32"/>
          <w:lang w:val="en-US" w:eastAsia="zh-CN"/>
        </w:rPr>
        <w:t>345.36</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9.01</w:t>
      </w:r>
      <w:r>
        <w:rPr>
          <w:rFonts w:ascii="Times New Roman" w:hAnsi="Times New Roman" w:eastAsia="方正仿宋_GBK"/>
          <w:sz w:val="32"/>
          <w:szCs w:val="32"/>
        </w:rPr>
        <w:t>%；</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141.47</w:t>
      </w:r>
      <w:r>
        <w:rPr>
          <w:rFonts w:ascii="Times New Roman" w:hAnsi="Times New Roman" w:eastAsia="方正仿宋_GBK"/>
          <w:sz w:val="32"/>
          <w:szCs w:val="32"/>
        </w:rPr>
        <w:t>万元，占</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60</w:t>
      </w:r>
      <w:r>
        <w:rPr>
          <w:rFonts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177.20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4.51</w:t>
      </w:r>
      <w:r>
        <w:rPr>
          <w:rFonts w:ascii="Times New Roman" w:hAnsi="Times New Roman" w:eastAsia="方正仿宋_GBK"/>
          <w:sz w:val="32"/>
          <w:szCs w:val="32"/>
        </w:rPr>
        <w:t>%。</w:t>
      </w:r>
    </w:p>
    <w:p w14:paraId="574E6C59">
      <w:pPr>
        <w:pStyle w:val="9"/>
        <w:spacing w:before="0" w:line="576" w:lineRule="exact"/>
        <w:rPr>
          <w:rFonts w:ascii="方正楷体_GBK" w:hAnsi="方正楷体_GBK" w:eastAsia="方正楷体_GBK" w:cs="方正楷体_GBK"/>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（三）一般公共预算当年拨款具体使用情况</w:t>
      </w:r>
    </w:p>
    <w:p w14:paraId="7882AE27">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 xml:space="preserve"> 1．一般公共服务（201）人大事务（01）行政运行（01）202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272.27</w:t>
      </w:r>
      <w:r>
        <w:rPr>
          <w:rFonts w:ascii="Times New Roman" w:hAnsi="Times New Roman" w:eastAsia="方正仿宋_GBK"/>
          <w:sz w:val="32"/>
          <w:szCs w:val="32"/>
        </w:rPr>
        <w:t>万元，主要用于:人员经费、人大机关运行费等</w:t>
      </w:r>
      <w:r>
        <w:rPr>
          <w:rFonts w:hint="eastAsia" w:ascii="Times New Roman" w:hAnsi="Times New Roman" w:eastAsia="方正仿宋_GBK"/>
          <w:sz w:val="32"/>
          <w:szCs w:val="32"/>
        </w:rPr>
        <w:t>开支</w:t>
      </w:r>
      <w:r>
        <w:rPr>
          <w:rFonts w:ascii="Times New Roman" w:hAnsi="Times New Roman" w:eastAsia="方正仿宋_GBK"/>
          <w:sz w:val="32"/>
          <w:szCs w:val="32"/>
        </w:rPr>
        <w:t xml:space="preserve">。 </w:t>
      </w:r>
    </w:p>
    <w:p w14:paraId="44C4DB3C">
      <w:pPr>
        <w:pStyle w:val="9"/>
        <w:numPr>
          <w:ilvl w:val="0"/>
          <w:numId w:val="3"/>
        </w:numPr>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一般行政管理</w:t>
      </w:r>
      <w:r>
        <w:rPr>
          <w:rFonts w:ascii="Times New Roman" w:hAnsi="Times New Roman" w:eastAsia="方正仿宋_GBK"/>
          <w:sz w:val="32"/>
          <w:szCs w:val="32"/>
        </w:rPr>
        <w:t>事务202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315.00</w:t>
      </w:r>
      <w:r>
        <w:rPr>
          <w:rFonts w:ascii="Times New Roman" w:hAnsi="Times New Roman" w:eastAsia="方正仿宋_GBK"/>
          <w:sz w:val="32"/>
          <w:szCs w:val="32"/>
        </w:rPr>
        <w:t>万元，主要用于：</w:t>
      </w:r>
      <w:r>
        <w:rPr>
          <w:rFonts w:hint="eastAsia" w:ascii="Times New Roman" w:hAnsi="Times New Roman" w:eastAsia="方正仿宋_GBK"/>
          <w:sz w:val="32"/>
          <w:szCs w:val="32"/>
          <w:lang w:val="en-US" w:eastAsia="zh-CN"/>
        </w:rPr>
        <w:t>人大宣传工作经费、</w:t>
      </w:r>
      <w:r>
        <w:rPr>
          <w:rFonts w:ascii="Times New Roman" w:hAnsi="Times New Roman" w:eastAsia="方正仿宋_GBK"/>
          <w:sz w:val="32"/>
          <w:szCs w:val="32"/>
        </w:rPr>
        <w:t>《阿坝人大》杂志制作费、环保世纪行工作经费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公务用车大修</w:t>
      </w:r>
      <w:r>
        <w:rPr>
          <w:rFonts w:ascii="Times New Roman" w:hAnsi="Times New Roman" w:eastAsia="方正仿宋_GBK"/>
          <w:sz w:val="32"/>
          <w:szCs w:val="32"/>
        </w:rPr>
        <w:t>等开支。</w:t>
      </w:r>
    </w:p>
    <w:p w14:paraId="4C6BDCD3">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人大会议202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248.00</w:t>
      </w:r>
      <w:r>
        <w:rPr>
          <w:rFonts w:ascii="Times New Roman" w:hAnsi="Times New Roman" w:eastAsia="方正仿宋_GBK"/>
          <w:sz w:val="32"/>
          <w:szCs w:val="32"/>
        </w:rPr>
        <w:t>万元，主要用于：人代会、人大常委会和人大主任学习会等会议费开支</w:t>
      </w:r>
      <w:r>
        <w:rPr>
          <w:rFonts w:hint="eastAsia" w:ascii="Times New Roman" w:hAnsi="Times New Roman" w:eastAsia="方正仿宋_GBK"/>
          <w:sz w:val="32"/>
          <w:szCs w:val="32"/>
        </w:rPr>
        <w:t>，</w:t>
      </w:r>
      <w:r>
        <w:rPr>
          <w:rFonts w:ascii="仿宋" w:hAnsi="仿宋" w:eastAsia="仿宋" w:cs="仿宋"/>
          <w:color w:val="333333"/>
          <w:sz w:val="32"/>
          <w:szCs w:val="32"/>
          <w:shd w:val="clear" w:color="auto" w:fill="FFFFFF"/>
        </w:rPr>
        <w:t>保障各项重大会议正常召开</w:t>
      </w:r>
      <w:r>
        <w:rPr>
          <w:rFonts w:hint="eastAsia" w:ascii="Times New Roman" w:hAnsi="Times New Roman" w:eastAsia="方正仿宋_GBK"/>
          <w:sz w:val="32"/>
          <w:szCs w:val="32"/>
        </w:rPr>
        <w:t>。</w:t>
      </w:r>
    </w:p>
    <w:p w14:paraId="0B9CE957">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人大立法202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73</w:t>
      </w:r>
      <w:r>
        <w:rPr>
          <w:rFonts w:hint="eastAsia" w:ascii="Times New Roman" w:hAnsi="Times New Roman" w:eastAsia="方正仿宋_GBK"/>
          <w:sz w:val="32"/>
          <w:szCs w:val="32"/>
        </w:rPr>
        <w:t>.00</w:t>
      </w:r>
      <w:r>
        <w:rPr>
          <w:rFonts w:ascii="Times New Roman" w:hAnsi="Times New Roman" w:eastAsia="方正仿宋_GBK"/>
          <w:sz w:val="32"/>
          <w:szCs w:val="32"/>
        </w:rPr>
        <w:t>万元，主要用于：民族立法工作经费、立法</w:t>
      </w:r>
      <w:r>
        <w:rPr>
          <w:rFonts w:hint="eastAsia" w:ascii="Times New Roman" w:hAnsi="Times New Roman" w:eastAsia="方正仿宋_GBK"/>
          <w:sz w:val="32"/>
          <w:szCs w:val="32"/>
          <w:lang w:val="en-US" w:eastAsia="zh-CN"/>
        </w:rPr>
        <w:t>学习</w:t>
      </w:r>
      <w:r>
        <w:rPr>
          <w:rFonts w:ascii="Times New Roman" w:hAnsi="Times New Roman" w:eastAsia="方正仿宋_GBK"/>
          <w:sz w:val="32"/>
          <w:szCs w:val="32"/>
        </w:rPr>
        <w:t>考察经费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基层立法联系点工作经费</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切实保障人大常委会履行立法职能</w:t>
      </w:r>
      <w:r>
        <w:rPr>
          <w:rFonts w:ascii="Times New Roman" w:hAnsi="Times New Roman" w:eastAsia="方正仿宋_GBK"/>
          <w:sz w:val="32"/>
          <w:szCs w:val="32"/>
        </w:rPr>
        <w:t>。</w:t>
      </w:r>
    </w:p>
    <w:p w14:paraId="14742E0B">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．人大监督202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40.</w:t>
      </w:r>
      <w:r>
        <w:rPr>
          <w:rFonts w:ascii="Times New Roman" w:hAnsi="Times New Roman" w:eastAsia="方正仿宋_GBK"/>
          <w:sz w:val="32"/>
          <w:szCs w:val="32"/>
        </w:rPr>
        <w:t>00万元，主要用于：</w:t>
      </w:r>
      <w:r>
        <w:rPr>
          <w:rFonts w:hint="eastAsia" w:ascii="Times New Roman" w:hAnsi="Times New Roman" w:eastAsia="方正仿宋_GBK"/>
          <w:sz w:val="32"/>
          <w:szCs w:val="32"/>
        </w:rPr>
        <w:t>人大</w:t>
      </w:r>
      <w:r>
        <w:rPr>
          <w:rFonts w:ascii="Times New Roman" w:hAnsi="Times New Roman" w:eastAsia="方正仿宋_GBK"/>
          <w:sz w:val="32"/>
          <w:szCs w:val="32"/>
        </w:rPr>
        <w:t>开展</w:t>
      </w:r>
      <w:r>
        <w:rPr>
          <w:rFonts w:hint="eastAsia" w:ascii="Times New Roman" w:hAnsi="Times New Roman" w:eastAsia="方正仿宋_GBK"/>
          <w:sz w:val="32"/>
          <w:szCs w:val="32"/>
        </w:rPr>
        <w:t>法律</w:t>
      </w:r>
      <w:r>
        <w:rPr>
          <w:rFonts w:ascii="Times New Roman" w:hAnsi="Times New Roman" w:eastAsia="方正仿宋_GBK"/>
          <w:sz w:val="32"/>
          <w:szCs w:val="32"/>
        </w:rPr>
        <w:t>监督</w:t>
      </w:r>
      <w:r>
        <w:rPr>
          <w:rFonts w:hint="eastAsia" w:ascii="Times New Roman" w:hAnsi="Times New Roman" w:eastAsia="方正仿宋_GBK"/>
          <w:sz w:val="32"/>
          <w:szCs w:val="32"/>
        </w:rPr>
        <w:t>和</w:t>
      </w:r>
      <w:r>
        <w:rPr>
          <w:rFonts w:ascii="Times New Roman" w:hAnsi="Times New Roman" w:eastAsia="方正仿宋_GBK"/>
          <w:sz w:val="32"/>
          <w:szCs w:val="32"/>
        </w:rPr>
        <w:t>工作</w:t>
      </w:r>
      <w:r>
        <w:rPr>
          <w:rFonts w:hint="eastAsia" w:ascii="Times New Roman" w:hAnsi="Times New Roman" w:eastAsia="方正仿宋_GBK"/>
          <w:sz w:val="32"/>
          <w:szCs w:val="32"/>
        </w:rPr>
        <w:t>监督</w:t>
      </w:r>
      <w:r>
        <w:rPr>
          <w:rFonts w:ascii="Times New Roman" w:hAnsi="Times New Roman" w:eastAsia="方正仿宋_GBK"/>
          <w:sz w:val="32"/>
          <w:szCs w:val="32"/>
        </w:rPr>
        <w:t>开支</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切实保障人大常委会履行监督职能</w:t>
      </w:r>
      <w:r>
        <w:rPr>
          <w:rFonts w:ascii="Times New Roman" w:hAnsi="Times New Roman" w:eastAsia="方正仿宋_GBK"/>
          <w:sz w:val="32"/>
          <w:szCs w:val="32"/>
        </w:rPr>
        <w:t>。</w:t>
      </w:r>
    </w:p>
    <w:p w14:paraId="3D79ED5F">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．代表工作202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年预算数为11</w:t>
      </w:r>
      <w:r>
        <w:rPr>
          <w:rFonts w:hint="eastAsia" w:ascii="Times New Roman" w:hAnsi="Times New Roman" w:eastAsia="方正仿宋_GBK"/>
          <w:sz w:val="32"/>
          <w:szCs w:val="32"/>
          <w:lang w:val="en-US" w:eastAsia="zh-CN"/>
        </w:rPr>
        <w:t>8.00</w:t>
      </w:r>
      <w:r>
        <w:rPr>
          <w:rFonts w:ascii="Times New Roman" w:hAnsi="Times New Roman" w:eastAsia="方正仿宋_GBK"/>
          <w:sz w:val="32"/>
          <w:szCs w:val="32"/>
        </w:rPr>
        <w:t>万元，主要用于：</w:t>
      </w:r>
    </w:p>
    <w:p w14:paraId="57E17968">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按每名州代表每年2000元的标准划拨到各县（市）人大常委会，由各县（市）人大常委会组织其选区内的州代表开展活动开支，计57万元。无固定</w:t>
      </w:r>
      <w:r>
        <w:rPr>
          <w:rFonts w:hint="eastAsia" w:ascii="Times New Roman" w:hAnsi="Times New Roman" w:eastAsia="方正仿宋_GBK"/>
          <w:sz w:val="32"/>
          <w:szCs w:val="32"/>
        </w:rPr>
        <w:t>工资</w:t>
      </w:r>
      <w:r>
        <w:rPr>
          <w:rFonts w:ascii="Times New Roman" w:hAnsi="Times New Roman" w:eastAsia="方正仿宋_GBK"/>
          <w:sz w:val="32"/>
          <w:szCs w:val="32"/>
        </w:rPr>
        <w:t>收入的州人大代表履职活动期间的误工补助和往返交通费补助计6</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切实保障人大代表依法履职</w:t>
      </w:r>
      <w:r>
        <w:rPr>
          <w:rFonts w:ascii="Times New Roman" w:hAnsi="Times New Roman" w:eastAsia="方正仿宋_GBK"/>
          <w:sz w:val="32"/>
          <w:szCs w:val="32"/>
        </w:rPr>
        <w:t>。</w:t>
      </w:r>
    </w:p>
    <w:p w14:paraId="1872E9F2">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 事业运行202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191.41</w:t>
      </w:r>
      <w:r>
        <w:rPr>
          <w:rFonts w:ascii="Times New Roman" w:hAnsi="Times New Roman" w:eastAsia="方正仿宋_GBK"/>
          <w:sz w:val="32"/>
          <w:szCs w:val="32"/>
        </w:rPr>
        <w:t>万元，主要用于：人大常委会办公室信息中心事业人员人员经费和公用经费支出</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保障事业单位运行</w:t>
      </w:r>
      <w:r>
        <w:rPr>
          <w:rFonts w:ascii="Times New Roman" w:hAnsi="Times New Roman" w:eastAsia="方正仿宋_GBK"/>
          <w:sz w:val="32"/>
          <w:szCs w:val="32"/>
        </w:rPr>
        <w:t>。</w:t>
      </w:r>
    </w:p>
    <w:p w14:paraId="4D7CE499">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 社会保障和就业支出202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354.34</w:t>
      </w:r>
      <w:r>
        <w:rPr>
          <w:rFonts w:ascii="Times New Roman" w:hAnsi="Times New Roman" w:eastAsia="方正仿宋_GBK"/>
          <w:sz w:val="32"/>
          <w:szCs w:val="32"/>
        </w:rPr>
        <w:t>万元，主要用于：机关事业单位基本养老保险缴费支出和职业年金缴费支出。</w:t>
      </w:r>
    </w:p>
    <w:p w14:paraId="2F30409D">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.医疗卫生与计划生育支出（行政事业单位医疗）202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141.47</w:t>
      </w:r>
      <w:r>
        <w:rPr>
          <w:rFonts w:ascii="Times New Roman" w:hAnsi="Times New Roman" w:eastAsia="方正仿宋_GBK"/>
          <w:sz w:val="32"/>
          <w:szCs w:val="32"/>
        </w:rPr>
        <w:t>万元，主要用于：行政事业单位医疗保险支出。</w:t>
      </w:r>
    </w:p>
    <w:p w14:paraId="42058D64">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.住房保障支出（住房公积金）202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177.20</w:t>
      </w:r>
      <w:r>
        <w:rPr>
          <w:rFonts w:ascii="Times New Roman" w:hAnsi="Times New Roman" w:eastAsia="方正仿宋_GBK"/>
          <w:sz w:val="32"/>
          <w:szCs w:val="32"/>
        </w:rPr>
        <w:t>万元，主要用于：住房公积金单位承担部分支出。</w:t>
      </w:r>
    </w:p>
    <w:p w14:paraId="4D043138">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六、一般公共预算基本支出情况说明</w:t>
      </w:r>
    </w:p>
    <w:p w14:paraId="7AE162B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年一般公共预算基本支出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136.68</w:t>
      </w:r>
      <w:r>
        <w:rPr>
          <w:rFonts w:ascii="Times New Roman" w:hAnsi="Times New Roman" w:eastAsia="方正仿宋_GBK"/>
          <w:sz w:val="32"/>
          <w:szCs w:val="32"/>
        </w:rPr>
        <w:t>万元，其中：人员经费</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549.790</w:t>
      </w:r>
      <w:r>
        <w:rPr>
          <w:rFonts w:ascii="Times New Roman" w:hAnsi="Times New Roman" w:eastAsia="方正仿宋_GBK"/>
          <w:sz w:val="32"/>
          <w:szCs w:val="32"/>
        </w:rPr>
        <w:t>万元，主要包括：基本工资</w:t>
      </w:r>
      <w:r>
        <w:rPr>
          <w:rFonts w:hint="eastAsia" w:ascii="Times New Roman" w:hAnsi="Times New Roman" w:eastAsia="方正仿宋_GBK"/>
          <w:sz w:val="32"/>
          <w:szCs w:val="32"/>
          <w:lang w:val="en-US" w:eastAsia="zh-CN"/>
        </w:rPr>
        <w:t>514.25</w:t>
      </w:r>
      <w:r>
        <w:rPr>
          <w:rFonts w:ascii="Times New Roman" w:hAnsi="Times New Roman" w:eastAsia="方正仿宋_GBK"/>
          <w:sz w:val="32"/>
          <w:szCs w:val="32"/>
        </w:rPr>
        <w:t>万元、津贴补贴</w:t>
      </w:r>
      <w:r>
        <w:rPr>
          <w:rFonts w:hint="eastAsia" w:ascii="Times New Roman" w:hAnsi="Times New Roman" w:eastAsia="方正仿宋_GBK"/>
          <w:sz w:val="32"/>
          <w:szCs w:val="32"/>
          <w:lang w:val="en-US" w:eastAsia="zh-CN"/>
        </w:rPr>
        <w:t>478.57</w:t>
      </w:r>
      <w:r>
        <w:rPr>
          <w:rFonts w:ascii="Times New Roman" w:hAnsi="Times New Roman" w:eastAsia="方正仿宋_GBK"/>
          <w:sz w:val="32"/>
          <w:szCs w:val="32"/>
        </w:rPr>
        <w:t>万元、奖金</w:t>
      </w:r>
      <w:r>
        <w:rPr>
          <w:rFonts w:hint="eastAsia" w:ascii="Times New Roman" w:hAnsi="Times New Roman" w:eastAsia="方正仿宋_GBK"/>
          <w:sz w:val="32"/>
          <w:szCs w:val="32"/>
          <w:lang w:val="en-US" w:eastAsia="zh-CN"/>
        </w:rPr>
        <w:t>444.70</w:t>
      </w:r>
      <w:r>
        <w:rPr>
          <w:rFonts w:ascii="Times New Roman" w:hAnsi="Times New Roman" w:eastAsia="方正仿宋_GBK"/>
          <w:sz w:val="32"/>
          <w:szCs w:val="32"/>
        </w:rPr>
        <w:t>万元、其他社会保障缴费</w:t>
      </w:r>
      <w:r>
        <w:rPr>
          <w:rFonts w:hint="eastAsia" w:ascii="Times New Roman" w:hAnsi="Times New Roman" w:eastAsia="方正仿宋_GBK"/>
          <w:sz w:val="32"/>
          <w:szCs w:val="32"/>
          <w:lang w:val="en-US" w:eastAsia="zh-CN"/>
        </w:rPr>
        <w:t>14.49</w:t>
      </w:r>
      <w:r>
        <w:rPr>
          <w:rFonts w:ascii="Times New Roman" w:hAnsi="Times New Roman" w:eastAsia="方正仿宋_GBK"/>
          <w:sz w:val="32"/>
          <w:szCs w:val="32"/>
        </w:rPr>
        <w:t>万元、绩效工资</w:t>
      </w:r>
      <w:r>
        <w:rPr>
          <w:rFonts w:hint="eastAsia" w:ascii="Times New Roman" w:hAnsi="Times New Roman" w:eastAsia="方正仿宋_GBK"/>
          <w:sz w:val="32"/>
          <w:szCs w:val="32"/>
          <w:lang w:val="en-US" w:eastAsia="zh-CN"/>
        </w:rPr>
        <w:t>42.09</w:t>
      </w:r>
      <w:r>
        <w:rPr>
          <w:rFonts w:ascii="Times New Roman" w:hAnsi="Times New Roman" w:eastAsia="方正仿宋_GBK"/>
          <w:sz w:val="32"/>
          <w:szCs w:val="32"/>
        </w:rPr>
        <w:t>万元、机关事业单位基本养老保险缴费</w:t>
      </w:r>
      <w:r>
        <w:rPr>
          <w:rFonts w:hint="eastAsia" w:ascii="Times New Roman" w:hAnsi="Times New Roman" w:eastAsia="方正仿宋_GBK"/>
          <w:sz w:val="32"/>
          <w:szCs w:val="32"/>
          <w:lang w:val="en-US" w:eastAsia="zh-CN"/>
        </w:rPr>
        <w:t>236.22</w:t>
      </w:r>
      <w:r>
        <w:rPr>
          <w:rFonts w:ascii="Times New Roman" w:hAnsi="Times New Roman" w:eastAsia="方正仿宋_GBK"/>
          <w:sz w:val="32"/>
          <w:szCs w:val="32"/>
        </w:rPr>
        <w:t>万元、职业年金缴费</w:t>
      </w:r>
      <w:r>
        <w:rPr>
          <w:rFonts w:hint="eastAsia" w:ascii="Times New Roman" w:hAnsi="Times New Roman" w:eastAsia="方正仿宋_GBK"/>
          <w:sz w:val="32"/>
          <w:szCs w:val="32"/>
          <w:lang w:val="en-US" w:eastAsia="zh-CN"/>
        </w:rPr>
        <w:t>118.11</w:t>
      </w:r>
      <w:r>
        <w:rPr>
          <w:rFonts w:ascii="Times New Roman" w:hAnsi="Times New Roman" w:eastAsia="方正仿宋_GBK"/>
          <w:sz w:val="32"/>
          <w:szCs w:val="32"/>
        </w:rPr>
        <w:t>万元、城镇职工基本医疗保险缴费</w:t>
      </w:r>
      <w:r>
        <w:rPr>
          <w:rFonts w:hint="eastAsia" w:ascii="Times New Roman" w:hAnsi="Times New Roman" w:eastAsia="方正仿宋_GBK"/>
          <w:sz w:val="32"/>
          <w:szCs w:val="32"/>
          <w:lang w:val="en-US" w:eastAsia="zh-CN"/>
        </w:rPr>
        <w:t>106.20</w:t>
      </w:r>
      <w:r>
        <w:rPr>
          <w:rFonts w:ascii="Times New Roman" w:hAnsi="Times New Roman" w:eastAsia="方正仿宋_GBK"/>
          <w:sz w:val="32"/>
          <w:szCs w:val="32"/>
        </w:rPr>
        <w:t>万元、公务员医疗补助费</w:t>
      </w:r>
      <w:r>
        <w:rPr>
          <w:rFonts w:hint="eastAsia" w:ascii="Times New Roman" w:hAnsi="Times New Roman" w:eastAsia="方正仿宋_GBK"/>
          <w:sz w:val="32"/>
          <w:szCs w:val="32"/>
          <w:lang w:val="en-US" w:eastAsia="zh-CN"/>
        </w:rPr>
        <w:t>32.67</w:t>
      </w:r>
      <w:r>
        <w:rPr>
          <w:rFonts w:ascii="Times New Roman" w:hAnsi="Times New Roman" w:eastAsia="方正仿宋_GBK"/>
          <w:sz w:val="32"/>
          <w:szCs w:val="32"/>
        </w:rPr>
        <w:t>万元、住房公积金</w:t>
      </w:r>
      <w:r>
        <w:rPr>
          <w:rFonts w:hint="eastAsia" w:ascii="Times New Roman" w:hAnsi="Times New Roman" w:eastAsia="方正仿宋_GBK"/>
          <w:sz w:val="32"/>
          <w:szCs w:val="32"/>
          <w:lang w:val="en-US" w:eastAsia="zh-CN"/>
        </w:rPr>
        <w:t>177.20</w:t>
      </w:r>
      <w:r>
        <w:rPr>
          <w:rFonts w:ascii="Times New Roman" w:hAnsi="Times New Roman" w:eastAsia="方正仿宋_GBK"/>
          <w:sz w:val="32"/>
          <w:szCs w:val="32"/>
        </w:rPr>
        <w:t>万元、其他工资福利支出</w:t>
      </w:r>
      <w:r>
        <w:rPr>
          <w:rFonts w:hint="eastAsia" w:ascii="Times New Roman" w:hAnsi="Times New Roman" w:eastAsia="方正仿宋_GBK"/>
          <w:sz w:val="32"/>
          <w:szCs w:val="32"/>
          <w:lang w:val="en-US" w:eastAsia="zh-CN"/>
        </w:rPr>
        <w:t>76.80</w:t>
      </w:r>
      <w:r>
        <w:rPr>
          <w:rFonts w:ascii="Times New Roman" w:hAnsi="Times New Roman" w:eastAsia="方正仿宋_GBK"/>
          <w:sz w:val="32"/>
          <w:szCs w:val="32"/>
        </w:rPr>
        <w:t>万元、离休费0万元、退休</w:t>
      </w:r>
      <w:r>
        <w:rPr>
          <w:rFonts w:hint="eastAsia" w:ascii="Times New Roman" w:hAnsi="Times New Roman" w:eastAsia="方正仿宋_GBK"/>
          <w:sz w:val="32"/>
          <w:szCs w:val="32"/>
        </w:rPr>
        <w:t>人员管理</w:t>
      </w:r>
      <w:r>
        <w:rPr>
          <w:rFonts w:ascii="Times New Roman" w:hAnsi="Times New Roman" w:eastAsia="方正仿宋_GBK"/>
          <w:sz w:val="32"/>
          <w:szCs w:val="32"/>
        </w:rPr>
        <w:t>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万元、生活补助</w:t>
      </w:r>
      <w:r>
        <w:rPr>
          <w:rFonts w:hint="eastAsia" w:ascii="Times New Roman" w:hAnsi="Times New Roman" w:eastAsia="方正仿宋_GBK"/>
          <w:sz w:val="32"/>
          <w:szCs w:val="32"/>
          <w:lang w:val="en-US" w:eastAsia="zh-CN"/>
        </w:rPr>
        <w:t>308.44</w:t>
      </w:r>
      <w:r>
        <w:rPr>
          <w:rFonts w:ascii="Times New Roman" w:hAnsi="Times New Roman" w:eastAsia="方正仿宋_GBK"/>
          <w:sz w:val="32"/>
          <w:szCs w:val="32"/>
        </w:rPr>
        <w:t>万元</w:t>
      </w:r>
      <w:r>
        <w:rPr>
          <w:rFonts w:hint="eastAsia" w:ascii="Times New Roman" w:hAnsi="Times New Roman" w:eastAsia="方正仿宋_GBK"/>
          <w:sz w:val="32"/>
          <w:szCs w:val="32"/>
        </w:rPr>
        <w:t>,独生子奖励0</w:t>
      </w:r>
      <w:r>
        <w:rPr>
          <w:rFonts w:ascii="Times New Roman" w:hAnsi="Times New Roman" w:eastAsia="方正仿宋_GBK"/>
          <w:sz w:val="32"/>
          <w:szCs w:val="32"/>
        </w:rPr>
        <w:t>.0</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万元</w:t>
      </w: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586.89</w:t>
      </w:r>
      <w:r>
        <w:rPr>
          <w:rFonts w:ascii="Times New Roman" w:hAnsi="Times New Roman" w:eastAsia="方正仿宋_GBK"/>
          <w:sz w:val="32"/>
          <w:szCs w:val="32"/>
        </w:rPr>
        <w:t>万元，主要包括：办公费</w:t>
      </w:r>
      <w:r>
        <w:rPr>
          <w:rFonts w:hint="eastAsia" w:ascii="Times New Roman" w:hAnsi="Times New Roman" w:eastAsia="方正仿宋_GBK"/>
          <w:sz w:val="32"/>
          <w:szCs w:val="32"/>
          <w:lang w:val="en-US" w:eastAsia="zh-CN"/>
        </w:rPr>
        <w:t>15.77</w:t>
      </w:r>
      <w:r>
        <w:rPr>
          <w:rFonts w:ascii="Times New Roman" w:hAnsi="Times New Roman" w:eastAsia="方正仿宋_GBK"/>
          <w:sz w:val="32"/>
          <w:szCs w:val="32"/>
        </w:rPr>
        <w:t>万元、水费</w:t>
      </w:r>
      <w:r>
        <w:rPr>
          <w:rFonts w:hint="eastAsia" w:ascii="Times New Roman" w:hAnsi="Times New Roman" w:eastAsia="方正仿宋_GBK"/>
          <w:sz w:val="32"/>
          <w:szCs w:val="32"/>
          <w:lang w:val="en-US" w:eastAsia="zh-CN"/>
        </w:rPr>
        <w:t>2.56</w:t>
      </w:r>
      <w:r>
        <w:rPr>
          <w:rFonts w:ascii="Times New Roman" w:hAnsi="Times New Roman" w:eastAsia="方正仿宋_GBK"/>
          <w:sz w:val="32"/>
          <w:szCs w:val="32"/>
        </w:rPr>
        <w:t>万元、邮电费</w:t>
      </w:r>
      <w:r>
        <w:rPr>
          <w:rFonts w:hint="eastAsia" w:ascii="Times New Roman" w:hAnsi="Times New Roman" w:eastAsia="方正仿宋_GBK"/>
          <w:sz w:val="32"/>
          <w:szCs w:val="32"/>
          <w:lang w:val="en-US" w:eastAsia="zh-CN"/>
        </w:rPr>
        <w:t>31.73</w:t>
      </w:r>
      <w:r>
        <w:rPr>
          <w:rFonts w:ascii="Times New Roman" w:hAnsi="Times New Roman" w:eastAsia="方正仿宋_GBK"/>
          <w:sz w:val="32"/>
          <w:szCs w:val="32"/>
        </w:rPr>
        <w:t>万元、取暖费</w:t>
      </w:r>
      <w:r>
        <w:rPr>
          <w:rFonts w:hint="eastAsia" w:ascii="Times New Roman" w:hAnsi="Times New Roman" w:eastAsia="方正仿宋_GBK"/>
          <w:sz w:val="32"/>
          <w:szCs w:val="32"/>
          <w:lang w:val="en-US" w:eastAsia="zh-CN"/>
        </w:rPr>
        <w:t>3.41</w:t>
      </w:r>
      <w:r>
        <w:rPr>
          <w:rFonts w:ascii="Times New Roman" w:hAnsi="Times New Roman" w:eastAsia="方正仿宋_GBK"/>
          <w:sz w:val="32"/>
          <w:szCs w:val="32"/>
        </w:rPr>
        <w:t>万元、差旅费</w:t>
      </w:r>
      <w:r>
        <w:rPr>
          <w:rFonts w:hint="eastAsia" w:ascii="Times New Roman" w:hAnsi="Times New Roman" w:eastAsia="方正仿宋_GBK"/>
          <w:sz w:val="32"/>
          <w:szCs w:val="32"/>
          <w:lang w:val="en-US" w:eastAsia="zh-CN"/>
        </w:rPr>
        <w:t>134.14</w:t>
      </w:r>
      <w:r>
        <w:rPr>
          <w:rFonts w:ascii="Times New Roman" w:hAnsi="Times New Roman" w:eastAsia="方正仿宋_GBK"/>
          <w:sz w:val="32"/>
          <w:szCs w:val="32"/>
        </w:rPr>
        <w:t>万元、维修（护）费</w:t>
      </w:r>
      <w:r>
        <w:rPr>
          <w:rFonts w:hint="eastAsia" w:ascii="Times New Roman" w:hAnsi="Times New Roman" w:eastAsia="方正仿宋_GBK"/>
          <w:sz w:val="32"/>
          <w:szCs w:val="32"/>
        </w:rPr>
        <w:t>1.98</w:t>
      </w:r>
      <w:r>
        <w:rPr>
          <w:rFonts w:ascii="Times New Roman" w:hAnsi="Times New Roman" w:eastAsia="方正仿宋_GBK"/>
          <w:sz w:val="32"/>
          <w:szCs w:val="32"/>
        </w:rPr>
        <w:t>万元、培训费18.</w:t>
      </w:r>
      <w:r>
        <w:rPr>
          <w:rFonts w:hint="eastAsia" w:ascii="Times New Roman" w:hAnsi="Times New Roman" w:eastAsia="方正仿宋_GBK"/>
          <w:sz w:val="32"/>
          <w:szCs w:val="32"/>
          <w:lang w:val="en-US" w:eastAsia="zh-CN"/>
        </w:rPr>
        <w:t>08</w:t>
      </w:r>
      <w:r>
        <w:rPr>
          <w:rFonts w:ascii="Times New Roman" w:hAnsi="Times New Roman" w:eastAsia="方正仿宋_GBK"/>
          <w:sz w:val="32"/>
          <w:szCs w:val="32"/>
        </w:rPr>
        <w:t>万元、公务接待费</w:t>
      </w:r>
      <w:r>
        <w:rPr>
          <w:rFonts w:hint="eastAsia" w:ascii="Times New Roman" w:hAnsi="Times New Roman" w:eastAsia="方正仿宋_GBK"/>
          <w:sz w:val="32"/>
          <w:szCs w:val="32"/>
          <w:lang w:val="en-US" w:eastAsia="zh-CN"/>
        </w:rPr>
        <w:t>11.07</w:t>
      </w:r>
      <w:r>
        <w:rPr>
          <w:rFonts w:ascii="Times New Roman" w:hAnsi="Times New Roman" w:eastAsia="方正仿宋_GBK"/>
          <w:sz w:val="32"/>
          <w:szCs w:val="32"/>
        </w:rPr>
        <w:t>万元、公务用车运行维护费</w:t>
      </w:r>
      <w:r>
        <w:rPr>
          <w:rFonts w:hint="eastAsia" w:ascii="Times New Roman" w:hAnsi="Times New Roman" w:eastAsia="方正仿宋_GBK"/>
          <w:sz w:val="32"/>
          <w:szCs w:val="32"/>
          <w:lang w:val="en-US" w:eastAsia="zh-CN"/>
        </w:rPr>
        <w:t>248.40</w:t>
      </w:r>
      <w:r>
        <w:rPr>
          <w:rFonts w:ascii="Times New Roman" w:hAnsi="Times New Roman" w:eastAsia="方正仿宋_GBK"/>
          <w:sz w:val="32"/>
          <w:szCs w:val="32"/>
        </w:rPr>
        <w:t>万元、其他商品和服务支</w:t>
      </w:r>
      <w:r>
        <w:rPr>
          <w:rFonts w:hint="eastAsia" w:ascii="Times New Roman" w:hAnsi="Times New Roman" w:eastAsia="方正仿宋_GBK"/>
          <w:sz w:val="32"/>
          <w:szCs w:val="32"/>
          <w:lang w:val="en-US" w:eastAsia="zh-CN"/>
        </w:rPr>
        <w:t>119.75</w:t>
      </w:r>
      <w:r>
        <w:rPr>
          <w:rFonts w:ascii="Times New Roman" w:hAnsi="Times New Roman" w:eastAsia="方正仿宋_GBK"/>
          <w:sz w:val="32"/>
          <w:szCs w:val="32"/>
        </w:rPr>
        <w:t>万元。</w:t>
      </w:r>
    </w:p>
    <w:p w14:paraId="304D17C2">
      <w:pPr>
        <w:pStyle w:val="9"/>
        <w:spacing w:before="0" w:line="576" w:lineRule="exact"/>
        <w:rPr>
          <w:rFonts w:ascii="方正黑体_GBK" w:hAnsi="方正黑体_GBK" w:eastAsia="方正黑体_GBK" w:cs="方正黑体_GBK"/>
          <w:sz w:val="32"/>
          <w:szCs w:val="32"/>
        </w:rPr>
      </w:pPr>
      <w:r>
        <w:rPr>
          <w:rFonts w:ascii="ˎ̥" w:hAnsi="ˎ̥" w:eastAsia="宋体" w:cs="宋体"/>
          <w:b/>
          <w:bCs/>
          <w:sz w:val="32"/>
          <w:szCs w:val="32"/>
        </w:rPr>
        <w:t>　</w:t>
      </w:r>
      <w:r>
        <w:rPr>
          <w:rFonts w:hint="eastAsia" w:ascii="方正黑体_GBK" w:hAnsi="方正黑体_GBK" w:eastAsia="方正黑体_GBK" w:cs="方正黑体_GBK"/>
          <w:sz w:val="32"/>
          <w:szCs w:val="32"/>
        </w:rPr>
        <w:t>七、“三公”经费财政拨款预算安排情况说明</w:t>
      </w:r>
    </w:p>
    <w:p w14:paraId="1BF0776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年“三公”经费财政拨款预算数</w:t>
      </w:r>
      <w:r>
        <w:rPr>
          <w:rFonts w:hint="eastAsia" w:ascii="Times New Roman" w:hAnsi="Times New Roman" w:eastAsia="方正仿宋_GBK"/>
          <w:sz w:val="32"/>
          <w:szCs w:val="32"/>
          <w:lang w:val="en-US" w:eastAsia="zh-CN"/>
        </w:rPr>
        <w:t>275.47</w:t>
      </w:r>
      <w:r>
        <w:rPr>
          <w:rFonts w:ascii="Times New Roman" w:hAnsi="Times New Roman" w:eastAsia="方正仿宋_GBK"/>
          <w:sz w:val="32"/>
          <w:szCs w:val="32"/>
        </w:rPr>
        <w:t>万元，其中：因公出国（境）经费0万元，公务接待费</w:t>
      </w:r>
      <w:r>
        <w:rPr>
          <w:rFonts w:hint="eastAsia" w:ascii="Times New Roman" w:hAnsi="Times New Roman" w:eastAsia="方正仿宋_GBK"/>
          <w:sz w:val="32"/>
          <w:szCs w:val="32"/>
          <w:lang w:val="en-US" w:eastAsia="zh-CN"/>
        </w:rPr>
        <w:t>10.58</w:t>
      </w:r>
      <w:r>
        <w:rPr>
          <w:rFonts w:ascii="Times New Roman" w:hAnsi="Times New Roman" w:eastAsia="方正仿宋_GBK"/>
          <w:sz w:val="32"/>
          <w:szCs w:val="32"/>
        </w:rPr>
        <w:t>万元，公务用车购置及运行维护费</w:t>
      </w:r>
      <w:r>
        <w:rPr>
          <w:rFonts w:hint="eastAsia" w:ascii="Times New Roman" w:hAnsi="Times New Roman" w:eastAsia="方正仿宋_GBK"/>
          <w:sz w:val="32"/>
          <w:szCs w:val="32"/>
          <w:lang w:val="en-US" w:eastAsia="zh-CN"/>
        </w:rPr>
        <w:t>264.40</w:t>
      </w:r>
      <w:r>
        <w:rPr>
          <w:rFonts w:ascii="Times New Roman" w:hAnsi="Times New Roman" w:eastAsia="方正仿宋_GBK"/>
          <w:sz w:val="32"/>
          <w:szCs w:val="32"/>
        </w:rPr>
        <w:t>万元。</w:t>
      </w:r>
    </w:p>
    <w:p w14:paraId="2484B0EA">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（一）202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年因公出国（境）经费0万元。较20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未安排公务因公出国预算</w:t>
      </w:r>
      <w:r>
        <w:rPr>
          <w:rFonts w:ascii="Times New Roman" w:hAnsi="Times New Roman" w:eastAsia="方正仿宋_GBK"/>
          <w:sz w:val="32"/>
          <w:szCs w:val="32"/>
        </w:rPr>
        <w:t xml:space="preserve">。 </w:t>
      </w:r>
    </w:p>
    <w:p w14:paraId="69CE966E">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（二）202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年公务接待费</w:t>
      </w:r>
      <w:r>
        <w:rPr>
          <w:rFonts w:hint="eastAsia" w:ascii="Times New Roman" w:hAnsi="Times New Roman" w:eastAsia="方正仿宋_GBK"/>
          <w:sz w:val="32"/>
          <w:szCs w:val="32"/>
          <w:lang w:val="en-US" w:eastAsia="zh-CN"/>
        </w:rPr>
        <w:t>11.07</w:t>
      </w:r>
      <w:r>
        <w:rPr>
          <w:rFonts w:ascii="Times New Roman" w:hAnsi="Times New Roman" w:eastAsia="方正仿宋_GBK"/>
          <w:sz w:val="32"/>
          <w:szCs w:val="32"/>
        </w:rPr>
        <w:t>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1.16</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减少0.81</w:t>
      </w:r>
      <w:r>
        <w:rPr>
          <w:rFonts w:ascii="Times New Roman" w:hAnsi="Times New Roman" w:eastAsia="方正仿宋_GBK"/>
          <w:sz w:val="32"/>
          <w:szCs w:val="32"/>
        </w:rPr>
        <w:t>%，主要原因是：</w:t>
      </w:r>
      <w:r>
        <w:rPr>
          <w:rFonts w:hint="eastAsia" w:ascii="Times New Roman" w:hAnsi="Times New Roman" w:eastAsia="方正仿宋_GBK"/>
          <w:sz w:val="32"/>
          <w:szCs w:val="32"/>
        </w:rPr>
        <w:t>公用支出预算安排</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，按预算公式计算的公务接待费也有所</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，下一步将按规定压减10%三公经费</w:t>
      </w:r>
      <w:r>
        <w:rPr>
          <w:rFonts w:ascii="Times New Roman" w:hAnsi="Times New Roman" w:eastAsia="方正仿宋_GBK"/>
          <w:sz w:val="32"/>
          <w:szCs w:val="32"/>
        </w:rPr>
        <w:t>。</w:t>
      </w:r>
    </w:p>
    <w:p w14:paraId="542DD612">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（三）20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年公务用车购置及运行维护费</w:t>
      </w:r>
      <w:r>
        <w:rPr>
          <w:rFonts w:hint="eastAsia" w:ascii="Times New Roman" w:hAnsi="Times New Roman" w:eastAsia="方正仿宋_GBK"/>
          <w:sz w:val="32"/>
          <w:szCs w:val="32"/>
          <w:lang w:val="en-US" w:eastAsia="zh-CN"/>
        </w:rPr>
        <w:t>264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40</w:t>
      </w:r>
      <w:r>
        <w:rPr>
          <w:rFonts w:ascii="Times New Roman" w:hAnsi="Times New Roman" w:eastAsia="方正仿宋_GBK"/>
          <w:sz w:val="32"/>
          <w:szCs w:val="32"/>
        </w:rPr>
        <w:t>万元。</w:t>
      </w:r>
      <w:r>
        <w:rPr>
          <w:rFonts w:hint="eastAsia" w:ascii="Times New Roman" w:hAnsi="Times New Roman" w:eastAsia="方正仿宋_GBK"/>
          <w:sz w:val="32"/>
          <w:szCs w:val="32"/>
        </w:rPr>
        <w:t>较</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w:t>
      </w:r>
      <w:r>
        <w:rPr>
          <w:rFonts w:hint="eastAsia" w:ascii="Times New Roman" w:hAnsi="Times New Roman" w:eastAsia="方正仿宋_GBK"/>
          <w:sz w:val="32"/>
          <w:szCs w:val="32"/>
          <w:lang w:val="en-US" w:eastAsia="zh-CN"/>
        </w:rPr>
        <w:t>272</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减少7.60</w:t>
      </w:r>
      <w:r>
        <w:rPr>
          <w:rFonts w:hint="eastAsia" w:ascii="Times New Roman" w:hAnsi="Times New Roman" w:eastAsia="方正仿宋_GBK"/>
          <w:sz w:val="32"/>
          <w:szCs w:val="32"/>
        </w:rPr>
        <w:t>万元，</w:t>
      </w:r>
      <w:r>
        <w:rPr>
          <w:rFonts w:ascii="Times New Roman" w:hAnsi="Times New Roman" w:eastAsia="方正仿宋_GBK"/>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6</w:t>
      </w:r>
      <w:bookmarkStart w:id="2" w:name="_GoBack"/>
      <w:bookmarkEnd w:id="2"/>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压减三公经费</w:t>
      </w:r>
      <w:r>
        <w:rPr>
          <w:rFonts w:hint="eastAsia" w:ascii="Times New Roman" w:hAnsi="Times New Roman" w:eastAsia="方正仿宋_GBK"/>
          <w:sz w:val="32"/>
          <w:szCs w:val="32"/>
        </w:rPr>
        <w:t>。</w:t>
      </w:r>
    </w:p>
    <w:p w14:paraId="5E2A43E8">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八、政府性基金预算支出情况说明</w:t>
      </w:r>
    </w:p>
    <w:p w14:paraId="086419C0">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年政府性基金预算拨款安排的支出0万元。较20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原因是2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年未安排政府性基金预算。</w:t>
      </w:r>
    </w:p>
    <w:p w14:paraId="5261468F">
      <w:pPr>
        <w:pStyle w:val="9"/>
        <w:spacing w:before="0" w:line="576" w:lineRule="exact"/>
        <w:ind w:firstLine="321" w:firstLineChars="100"/>
        <w:rPr>
          <w:rFonts w:hint="eastAsia" w:ascii="ˎ̥" w:hAnsi="ˎ̥" w:eastAsia="宋体" w:cs="宋体"/>
          <w:b/>
          <w:bCs/>
          <w:sz w:val="32"/>
          <w:szCs w:val="32"/>
        </w:rPr>
      </w:pPr>
      <w:r>
        <w:rPr>
          <w:rFonts w:ascii="ˎ̥" w:hAnsi="ˎ̥" w:eastAsia="宋体" w:cs="宋体"/>
          <w:b/>
          <w:bCs/>
          <w:sz w:val="32"/>
          <w:szCs w:val="32"/>
        </w:rPr>
        <w:t>九、其他重要事项的情况说明</w:t>
      </w:r>
    </w:p>
    <w:p w14:paraId="39CF2E9F">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（一）机关运行经费</w:t>
      </w:r>
    </w:p>
    <w:p w14:paraId="4FD06E94">
      <w:pPr>
        <w:pStyle w:val="9"/>
        <w:spacing w:before="0" w:line="576" w:lineRule="exact"/>
        <w:ind w:firstLine="320" w:firstLineChars="100"/>
        <w:rPr>
          <w:rFonts w:ascii="Times New Roman" w:hAnsi="Times New Roman" w:eastAsia="方正仿宋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年机关运行经费财政拨款预算为</w:t>
      </w:r>
      <w:r>
        <w:rPr>
          <w:rFonts w:hint="eastAsia" w:ascii="Times New Roman" w:hAnsi="Times New Roman" w:eastAsia="方正仿宋_GBK"/>
          <w:sz w:val="32"/>
          <w:szCs w:val="32"/>
          <w:lang w:val="en-US" w:eastAsia="zh-CN"/>
        </w:rPr>
        <w:t>576.16</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w:t>
      </w:r>
      <w:r>
        <w:rPr>
          <w:rFonts w:hint="eastAsia" w:ascii="Times New Roman" w:hAnsi="Times New Roman" w:eastAsia="方正仿宋_GBK"/>
          <w:sz w:val="32"/>
          <w:szCs w:val="32"/>
          <w:lang w:val="en-US" w:eastAsia="zh-CN"/>
        </w:rPr>
        <w:t>增加9.69</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上涨1.71</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color w:val="333333"/>
          <w:sz w:val="32"/>
          <w:szCs w:val="32"/>
          <w:shd w:val="clear" w:color="auto" w:fill="FFFFFF"/>
        </w:rPr>
        <w:t>主要原因是202</w:t>
      </w:r>
      <w:r>
        <w:rPr>
          <w:rFonts w:hint="eastAsia" w:ascii="Times New Roman" w:hAnsi="Times New Roman" w:eastAsia="方正仿宋_GBK"/>
          <w:color w:val="333333"/>
          <w:sz w:val="32"/>
          <w:szCs w:val="32"/>
          <w:shd w:val="clear" w:color="auto" w:fill="FFFFFF"/>
          <w:lang w:val="en-US" w:eastAsia="zh-CN"/>
        </w:rPr>
        <w:t>6</w:t>
      </w:r>
      <w:r>
        <w:rPr>
          <w:rFonts w:ascii="Times New Roman" w:hAnsi="Times New Roman" w:eastAsia="方正仿宋_GBK"/>
          <w:color w:val="333333"/>
          <w:sz w:val="32"/>
          <w:szCs w:val="32"/>
          <w:shd w:val="clear" w:color="auto" w:fill="FFFFFF"/>
        </w:rPr>
        <w:t>年度</w:t>
      </w:r>
      <w:r>
        <w:rPr>
          <w:rFonts w:hint="eastAsia" w:ascii="Times New Roman" w:hAnsi="Times New Roman" w:eastAsia="方正仿宋_GBK"/>
          <w:color w:val="333333"/>
          <w:sz w:val="32"/>
          <w:szCs w:val="32"/>
          <w:shd w:val="clear" w:color="auto" w:fill="FFFFFF"/>
          <w:lang w:val="en-US" w:eastAsia="zh-CN"/>
        </w:rPr>
        <w:t>公</w:t>
      </w:r>
      <w:r>
        <w:rPr>
          <w:rFonts w:hint="eastAsia" w:ascii="Times New Roman" w:hAnsi="Times New Roman" w:eastAsia="方正仿宋_GBK"/>
          <w:color w:val="333333"/>
          <w:sz w:val="32"/>
          <w:szCs w:val="32"/>
          <w:shd w:val="clear" w:color="auto" w:fill="FFFFFF"/>
        </w:rPr>
        <w:t>用</w:t>
      </w:r>
      <w:r>
        <w:rPr>
          <w:rFonts w:ascii="Times New Roman" w:hAnsi="Times New Roman" w:eastAsia="方正仿宋_GBK"/>
          <w:color w:val="333333"/>
          <w:sz w:val="32"/>
          <w:szCs w:val="32"/>
          <w:shd w:val="clear" w:color="auto" w:fill="FFFFFF"/>
        </w:rPr>
        <w:t>支出预算</w:t>
      </w:r>
      <w:r>
        <w:rPr>
          <w:rFonts w:hint="eastAsia" w:ascii="Times New Roman" w:hAnsi="Times New Roman" w:eastAsia="方正仿宋_GBK"/>
          <w:color w:val="333333"/>
          <w:sz w:val="32"/>
          <w:szCs w:val="32"/>
          <w:shd w:val="clear" w:color="auto" w:fill="FFFFFF"/>
          <w:lang w:val="en-US" w:eastAsia="zh-CN"/>
        </w:rPr>
        <w:t>增加</w:t>
      </w:r>
      <w:r>
        <w:rPr>
          <w:rFonts w:ascii="Times New Roman" w:hAnsi="Times New Roman" w:eastAsia="方正仿宋_GBK"/>
          <w:sz w:val="32"/>
          <w:szCs w:val="32"/>
        </w:rPr>
        <w:t>。</w:t>
      </w:r>
    </w:p>
    <w:p w14:paraId="7C1AB64F">
      <w:pPr>
        <w:pStyle w:val="9"/>
        <w:spacing w:before="0" w:line="576" w:lineRule="exact"/>
        <w:ind w:firstLine="320" w:firstLineChars="100"/>
        <w:rPr>
          <w:rFonts w:ascii="方正楷体_GBK" w:hAnsi="方正楷体_GBK" w:eastAsia="方正楷体_GBK" w:cs="方正楷体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hint="eastAsia" w:ascii="方正楷体_GBK" w:hAnsi="方正楷体_GBK" w:eastAsia="方正楷体_GBK" w:cs="方正楷体_GBK"/>
          <w:sz w:val="32"/>
          <w:szCs w:val="32"/>
        </w:rPr>
        <w:t>（二）政府采购情况</w:t>
      </w:r>
    </w:p>
    <w:p w14:paraId="399AD03F">
      <w:pPr>
        <w:pStyle w:val="9"/>
        <w:spacing w:before="0" w:line="576" w:lineRule="exact"/>
        <w:ind w:firstLine="320" w:firstLineChars="100"/>
        <w:rPr>
          <w:rFonts w:hint="eastAsia" w:ascii="Times New Roman" w:hAnsi="Times New Roman" w:eastAsia="方正仿宋_GBK"/>
          <w:sz w:val="32"/>
          <w:szCs w:val="32"/>
          <w:lang w:eastAsia="zh-CN"/>
        </w:rPr>
      </w:pPr>
      <w:r>
        <w:rPr>
          <w:rFonts w:hint="eastAsia" w:ascii="ˎ̥" w:hAnsi="ˎ̥" w:eastAsia="宋体" w:cs="宋体"/>
          <w:sz w:val="32"/>
          <w:szCs w:val="32"/>
        </w:rPr>
        <w:t xml:space="preserve">  </w:t>
      </w:r>
      <w:r>
        <w:rPr>
          <w:rFonts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年阿坝州人大常委会办公室安排政府采购预算</w:t>
      </w:r>
      <w:r>
        <w:rPr>
          <w:rFonts w:hint="eastAsia" w:ascii="Times New Roman" w:hAnsi="Times New Roman" w:eastAsia="方正仿宋_GBK"/>
          <w:sz w:val="32"/>
          <w:szCs w:val="32"/>
          <w:lang w:val="en-US" w:eastAsia="zh-CN"/>
        </w:rPr>
        <w:t>23.00</w:t>
      </w:r>
      <w:r>
        <w:rPr>
          <w:rFonts w:ascii="Times New Roman" w:hAnsi="Times New Roman" w:eastAsia="方正仿宋_GBK"/>
          <w:sz w:val="32"/>
          <w:szCs w:val="32"/>
        </w:rPr>
        <w:t>万元，主要用于州人大常委会</w:t>
      </w:r>
      <w:r>
        <w:rPr>
          <w:rFonts w:hint="eastAsia" w:ascii="Times New Roman" w:hAnsi="Times New Roman" w:eastAsia="方正仿宋_GBK"/>
          <w:sz w:val="32"/>
          <w:szCs w:val="32"/>
        </w:rPr>
        <w:t>机关</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辆公务用车大修费用、购</w:t>
      </w:r>
      <w:r>
        <w:rPr>
          <w:rFonts w:hint="eastAsia" w:ascii="Times New Roman" w:hAnsi="Times New Roman" w:eastAsia="方正仿宋_GBK"/>
          <w:sz w:val="32"/>
          <w:szCs w:val="32"/>
          <w:lang w:val="en-US" w:eastAsia="zh-CN"/>
        </w:rPr>
        <w:t>空调</w:t>
      </w:r>
      <w:r>
        <w:rPr>
          <w:rFonts w:hint="eastAsia" w:ascii="Times New Roman" w:hAnsi="Times New Roman" w:eastAsia="方正仿宋_GBK"/>
          <w:sz w:val="32"/>
          <w:szCs w:val="32"/>
        </w:rPr>
        <w:t>等办公用品费用</w:t>
      </w:r>
      <w:r>
        <w:rPr>
          <w:rFonts w:hint="eastAsia" w:ascii="Times New Roman" w:hAnsi="Times New Roman" w:eastAsia="方正仿宋_GBK"/>
          <w:sz w:val="32"/>
          <w:szCs w:val="32"/>
          <w:lang w:eastAsia="zh-CN"/>
        </w:rPr>
        <w:t>。</w:t>
      </w:r>
    </w:p>
    <w:p w14:paraId="5C89A9CF">
      <w:pPr>
        <w:pStyle w:val="9"/>
        <w:spacing w:before="0"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（三）国有资产占有使用情况</w:t>
      </w:r>
    </w:p>
    <w:p w14:paraId="5D62546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截至20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年12月31日，阿坝州人大常委会办公室</w:t>
      </w:r>
      <w:r>
        <w:rPr>
          <w:rFonts w:hint="eastAsia" w:ascii="Times New Roman" w:hAnsi="Times New Roman" w:eastAsia="方正仿宋_GBK"/>
          <w:sz w:val="32"/>
          <w:szCs w:val="32"/>
        </w:rPr>
        <w:t>固定资产账面登记</w:t>
      </w:r>
      <w:r>
        <w:rPr>
          <w:rFonts w:ascii="Times New Roman" w:hAnsi="Times New Roman" w:eastAsia="方正仿宋_GBK"/>
          <w:sz w:val="32"/>
          <w:szCs w:val="32"/>
        </w:rPr>
        <w:t>实有</w:t>
      </w:r>
      <w:r>
        <w:rPr>
          <w:rFonts w:hint="eastAsia" w:ascii="Times New Roman" w:hAnsi="Times New Roman" w:eastAsia="方正仿宋_GBK"/>
          <w:sz w:val="32"/>
          <w:szCs w:val="32"/>
        </w:rPr>
        <w:t>公</w:t>
      </w:r>
      <w:r>
        <w:rPr>
          <w:rFonts w:ascii="Times New Roman" w:hAnsi="Times New Roman" w:eastAsia="方正仿宋_GBK"/>
          <w:sz w:val="32"/>
          <w:szCs w:val="32"/>
        </w:rPr>
        <w:t>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辆，其中：一般公务用车1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辆。单价50万元以上通用设备1（套），单价100万元以上专用设备</w:t>
      </w:r>
      <w:r>
        <w:rPr>
          <w:rFonts w:hint="eastAsia" w:ascii="Times New Roman" w:hAnsi="Times New Roman" w:eastAsia="方正仿宋_GBK"/>
          <w:sz w:val="32"/>
          <w:szCs w:val="32"/>
        </w:rPr>
        <w:t>零</w:t>
      </w:r>
      <w:r>
        <w:rPr>
          <w:rFonts w:ascii="Times New Roman" w:hAnsi="Times New Roman" w:eastAsia="方正仿宋_GBK"/>
          <w:sz w:val="32"/>
          <w:szCs w:val="32"/>
        </w:rPr>
        <w:t>台（套）。</w:t>
      </w:r>
    </w:p>
    <w:p w14:paraId="756C6336">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 xml:space="preserve"> （四）绩效目标设置情况</w:t>
      </w:r>
      <w:r>
        <w:rPr>
          <w:rFonts w:ascii="ˎ̥" w:hAnsi="ˎ̥" w:eastAsia="宋体" w:cs="宋体"/>
          <w:sz w:val="32"/>
          <w:szCs w:val="32"/>
        </w:rPr>
        <w:t>　</w:t>
      </w:r>
    </w:p>
    <w:p w14:paraId="62B98BB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年阿坝州人大常委会办公室通用项目和专用项目均按要求</w:t>
      </w:r>
      <w:r>
        <w:rPr>
          <w:rFonts w:hint="eastAsia" w:ascii="Times New Roman" w:hAnsi="Times New Roman" w:eastAsia="方正仿宋_GBK"/>
          <w:sz w:val="32"/>
          <w:szCs w:val="32"/>
        </w:rPr>
        <w:t>严格</w:t>
      </w:r>
      <w:r>
        <w:rPr>
          <w:rFonts w:ascii="Times New Roman" w:hAnsi="Times New Roman" w:eastAsia="方正仿宋_GBK"/>
          <w:sz w:val="32"/>
          <w:szCs w:val="32"/>
        </w:rPr>
        <w:t>实行绩效目标管理，涉及一般公共预算当年拨款</w:t>
      </w:r>
      <w:r>
        <w:rPr>
          <w:rFonts w:hint="eastAsia" w:ascii="Times New Roman" w:hAnsi="Times New Roman" w:eastAsia="方正仿宋_GBK"/>
          <w:sz w:val="32"/>
          <w:szCs w:val="32"/>
          <w:lang w:val="en-US" w:eastAsia="zh-CN"/>
        </w:rPr>
        <w:t>794.00</w:t>
      </w:r>
      <w:r>
        <w:rPr>
          <w:rFonts w:ascii="Times New Roman" w:hAnsi="Times New Roman" w:eastAsia="方正仿宋_GBK"/>
          <w:sz w:val="32"/>
          <w:szCs w:val="32"/>
        </w:rPr>
        <w:t>万元。</w:t>
      </w:r>
      <w:r>
        <w:rPr>
          <w:rFonts w:hint="eastAsia" w:ascii="方正仿宋_GBK" w:hAnsi="方正仿宋_GBK" w:eastAsia="方正仿宋_GBK" w:cs="方正仿宋_GBK"/>
          <w:color w:val="333333"/>
          <w:sz w:val="32"/>
          <w:szCs w:val="32"/>
          <w:shd w:val="clear" w:color="auto" w:fill="FFFFFF"/>
        </w:rPr>
        <w:t>按要求编制了绩效目标,从项目完成、项目效益、满意度等方面设置了绩效指标，综合反映项目预期完成的数量、成本、时效、质量，预期达到的社会效益、经济效益、生态效益、可持续影响以及服务对象满意度等情况。</w:t>
      </w:r>
    </w:p>
    <w:p w14:paraId="500A5289">
      <w:pPr>
        <w:pStyle w:val="9"/>
        <w:spacing w:before="0" w:line="576" w:lineRule="exact"/>
        <w:rPr>
          <w:rFonts w:ascii="方正黑体_GBK" w:hAnsi="方正黑体_GBK" w:eastAsia="方正黑体_GBK" w:cs="方正黑体_GBK"/>
          <w:sz w:val="32"/>
          <w:szCs w:val="32"/>
        </w:rPr>
      </w:pPr>
      <w:r>
        <w:rPr>
          <w:rFonts w:hint="eastAsia" w:ascii="ˎ̥" w:hAnsi="ˎ̥" w:eastAsia="宋体" w:cs="宋体"/>
          <w:b/>
          <w:bCs/>
          <w:sz w:val="32"/>
          <w:szCs w:val="32"/>
        </w:rPr>
        <w:t xml:space="preserve">  </w:t>
      </w:r>
      <w:r>
        <w:rPr>
          <w:rFonts w:hint="eastAsia" w:ascii="方正黑体_GBK" w:hAnsi="方正黑体_GBK" w:eastAsia="方正黑体_GBK" w:cs="方正黑体_GBK"/>
          <w:sz w:val="32"/>
          <w:szCs w:val="32"/>
        </w:rPr>
        <w:t>十、名词解释</w:t>
      </w:r>
    </w:p>
    <w:p w14:paraId="13CD952A">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（一）财政拨款收入：指由财政拨款形成的部门收入。按现行管理制度，部门预算中反映的财政拨款仅包括一般公共预算拨款和政府性基金预算拨款。</w:t>
      </w:r>
    </w:p>
    <w:p w14:paraId="305BE6D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（二）事业收入：指所属事业单位开展专业业务活动及辅助活动所取得的收入。</w:t>
      </w:r>
    </w:p>
    <w:p w14:paraId="3EA0B133">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（三）事业单位经营收入：指所属事业单位在专业业务活动及其辅助活动之外开展非独立核算经营活动取得的收入。</w:t>
      </w:r>
    </w:p>
    <w:p w14:paraId="5D75920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（四）其他收入：指除上述“财政拨款收入”、“事业收入”、“事业单位经营收入”等以外的收入，主要是所属行政事业单位按规定动用的售房收入、存款利息收入等。</w:t>
      </w:r>
    </w:p>
    <w:p w14:paraId="2EDE0E31">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41199431">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7A6D9"/>
    <w:multiLevelType w:val="singleLevel"/>
    <w:tmpl w:val="9937A6D9"/>
    <w:lvl w:ilvl="0" w:tentative="0">
      <w:start w:val="1"/>
      <w:numFmt w:val="chineseCounting"/>
      <w:suff w:val="nothing"/>
      <w:lvlText w:val="%1、"/>
      <w:lvlJc w:val="left"/>
      <w:pPr>
        <w:ind w:left="320" w:firstLine="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0EA14D"/>
    <w:multiLevelType w:val="singleLevel"/>
    <w:tmpl w:val="600EA14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GRlZjIxYTQwNTVkOWE0MTE1MmIwNGY3ZjZlN2UifQ=="/>
  </w:docVars>
  <w:rsids>
    <w:rsidRoot w:val="00352854"/>
    <w:rsid w:val="00025B29"/>
    <w:rsid w:val="00045756"/>
    <w:rsid w:val="00070676"/>
    <w:rsid w:val="00085137"/>
    <w:rsid w:val="00087344"/>
    <w:rsid w:val="000D019C"/>
    <w:rsid w:val="00101B20"/>
    <w:rsid w:val="001C6FBB"/>
    <w:rsid w:val="001D1BFE"/>
    <w:rsid w:val="00201518"/>
    <w:rsid w:val="0020464A"/>
    <w:rsid w:val="002245B6"/>
    <w:rsid w:val="00237E93"/>
    <w:rsid w:val="00291AF0"/>
    <w:rsid w:val="00294F54"/>
    <w:rsid w:val="002A6456"/>
    <w:rsid w:val="002F53B7"/>
    <w:rsid w:val="003447B9"/>
    <w:rsid w:val="00352854"/>
    <w:rsid w:val="003762A5"/>
    <w:rsid w:val="003B298B"/>
    <w:rsid w:val="003D21B2"/>
    <w:rsid w:val="003E1C08"/>
    <w:rsid w:val="003F4146"/>
    <w:rsid w:val="00424F18"/>
    <w:rsid w:val="00440846"/>
    <w:rsid w:val="004C4A2F"/>
    <w:rsid w:val="004C5E33"/>
    <w:rsid w:val="004D3F3A"/>
    <w:rsid w:val="00515408"/>
    <w:rsid w:val="0053029E"/>
    <w:rsid w:val="005A018B"/>
    <w:rsid w:val="00600EB9"/>
    <w:rsid w:val="00612345"/>
    <w:rsid w:val="006140F3"/>
    <w:rsid w:val="00614FFB"/>
    <w:rsid w:val="00661709"/>
    <w:rsid w:val="006708AD"/>
    <w:rsid w:val="006D70CA"/>
    <w:rsid w:val="00715B44"/>
    <w:rsid w:val="00717460"/>
    <w:rsid w:val="00781246"/>
    <w:rsid w:val="007970CE"/>
    <w:rsid w:val="007B3677"/>
    <w:rsid w:val="007C2AC1"/>
    <w:rsid w:val="007F6B78"/>
    <w:rsid w:val="00847C01"/>
    <w:rsid w:val="00887A60"/>
    <w:rsid w:val="008E0EE1"/>
    <w:rsid w:val="008F63EB"/>
    <w:rsid w:val="00921277"/>
    <w:rsid w:val="00987B5A"/>
    <w:rsid w:val="009A5BA1"/>
    <w:rsid w:val="009D4D63"/>
    <w:rsid w:val="009F44FB"/>
    <w:rsid w:val="00A31F7F"/>
    <w:rsid w:val="00A60456"/>
    <w:rsid w:val="00A937BC"/>
    <w:rsid w:val="00AA1FCE"/>
    <w:rsid w:val="00AB2313"/>
    <w:rsid w:val="00B21CB6"/>
    <w:rsid w:val="00B56C4F"/>
    <w:rsid w:val="00B9165B"/>
    <w:rsid w:val="00B91C4F"/>
    <w:rsid w:val="00BF12CD"/>
    <w:rsid w:val="00C422B3"/>
    <w:rsid w:val="00C8183B"/>
    <w:rsid w:val="00CB5266"/>
    <w:rsid w:val="00D06D76"/>
    <w:rsid w:val="00D22494"/>
    <w:rsid w:val="00D84BF5"/>
    <w:rsid w:val="00DB6419"/>
    <w:rsid w:val="00E255F4"/>
    <w:rsid w:val="00E73966"/>
    <w:rsid w:val="00E81465"/>
    <w:rsid w:val="00E91A39"/>
    <w:rsid w:val="00F06685"/>
    <w:rsid w:val="00F118EC"/>
    <w:rsid w:val="00F267C7"/>
    <w:rsid w:val="00F40C09"/>
    <w:rsid w:val="00F743F0"/>
    <w:rsid w:val="00F83CDA"/>
    <w:rsid w:val="00F85776"/>
    <w:rsid w:val="00F96BE5"/>
    <w:rsid w:val="00FA75FA"/>
    <w:rsid w:val="00FB4B6C"/>
    <w:rsid w:val="00FB4BD0"/>
    <w:rsid w:val="00FB4F4D"/>
    <w:rsid w:val="00FE151A"/>
    <w:rsid w:val="00FF11B9"/>
    <w:rsid w:val="013C4FE9"/>
    <w:rsid w:val="0147778C"/>
    <w:rsid w:val="016B6358"/>
    <w:rsid w:val="025413F2"/>
    <w:rsid w:val="03263E60"/>
    <w:rsid w:val="036A193D"/>
    <w:rsid w:val="03786F69"/>
    <w:rsid w:val="038A7994"/>
    <w:rsid w:val="041800B5"/>
    <w:rsid w:val="042036F2"/>
    <w:rsid w:val="045B0227"/>
    <w:rsid w:val="04F274F3"/>
    <w:rsid w:val="05634BBB"/>
    <w:rsid w:val="056D236F"/>
    <w:rsid w:val="05796534"/>
    <w:rsid w:val="05B23A44"/>
    <w:rsid w:val="05E03D0C"/>
    <w:rsid w:val="067D0A86"/>
    <w:rsid w:val="069B4B2F"/>
    <w:rsid w:val="06B67B28"/>
    <w:rsid w:val="06FA7190"/>
    <w:rsid w:val="07396BE1"/>
    <w:rsid w:val="0854278F"/>
    <w:rsid w:val="089A4646"/>
    <w:rsid w:val="096C509E"/>
    <w:rsid w:val="0A3C605D"/>
    <w:rsid w:val="0A782765"/>
    <w:rsid w:val="0AE76F0D"/>
    <w:rsid w:val="0B13248D"/>
    <w:rsid w:val="0B48500C"/>
    <w:rsid w:val="0C7C60B1"/>
    <w:rsid w:val="0CF87065"/>
    <w:rsid w:val="0D1E1E1F"/>
    <w:rsid w:val="0D8868E5"/>
    <w:rsid w:val="0E0E1B76"/>
    <w:rsid w:val="0EB7448A"/>
    <w:rsid w:val="0F032EFE"/>
    <w:rsid w:val="0FA20284"/>
    <w:rsid w:val="0FBB5203"/>
    <w:rsid w:val="0FD106E8"/>
    <w:rsid w:val="10090303"/>
    <w:rsid w:val="10242AD1"/>
    <w:rsid w:val="10A1358B"/>
    <w:rsid w:val="10B25998"/>
    <w:rsid w:val="11441D0A"/>
    <w:rsid w:val="114C15AE"/>
    <w:rsid w:val="11B94EEB"/>
    <w:rsid w:val="12865009"/>
    <w:rsid w:val="141F44BA"/>
    <w:rsid w:val="14F75FA0"/>
    <w:rsid w:val="153633EE"/>
    <w:rsid w:val="1561339E"/>
    <w:rsid w:val="15D75342"/>
    <w:rsid w:val="15FA45B4"/>
    <w:rsid w:val="164951A9"/>
    <w:rsid w:val="1697095E"/>
    <w:rsid w:val="16D276A1"/>
    <w:rsid w:val="171F4E85"/>
    <w:rsid w:val="179E7583"/>
    <w:rsid w:val="17C51978"/>
    <w:rsid w:val="181F14FA"/>
    <w:rsid w:val="18356139"/>
    <w:rsid w:val="183B1275"/>
    <w:rsid w:val="18651DBE"/>
    <w:rsid w:val="18B13F08"/>
    <w:rsid w:val="18B42A4A"/>
    <w:rsid w:val="18D834A6"/>
    <w:rsid w:val="19125B37"/>
    <w:rsid w:val="191E4E1F"/>
    <w:rsid w:val="19A07E7C"/>
    <w:rsid w:val="19C41F9D"/>
    <w:rsid w:val="19D51CE0"/>
    <w:rsid w:val="19EB262B"/>
    <w:rsid w:val="1A6B5F30"/>
    <w:rsid w:val="1ACF527D"/>
    <w:rsid w:val="1B0E4E7A"/>
    <w:rsid w:val="1B215D50"/>
    <w:rsid w:val="1B3D7F77"/>
    <w:rsid w:val="1B5E59A7"/>
    <w:rsid w:val="1B7F1F38"/>
    <w:rsid w:val="1C132CBE"/>
    <w:rsid w:val="1C403653"/>
    <w:rsid w:val="1C874A89"/>
    <w:rsid w:val="1C890266"/>
    <w:rsid w:val="1CA0201C"/>
    <w:rsid w:val="1CE07DAB"/>
    <w:rsid w:val="1D3106D0"/>
    <w:rsid w:val="1D956018"/>
    <w:rsid w:val="1DA349A4"/>
    <w:rsid w:val="1DEC189E"/>
    <w:rsid w:val="1E2B6602"/>
    <w:rsid w:val="1E354CE7"/>
    <w:rsid w:val="1E3C0198"/>
    <w:rsid w:val="1E671E0B"/>
    <w:rsid w:val="1EC420BC"/>
    <w:rsid w:val="1F314402"/>
    <w:rsid w:val="1F5A6485"/>
    <w:rsid w:val="1F633DFF"/>
    <w:rsid w:val="1F8B663F"/>
    <w:rsid w:val="1F9C3D68"/>
    <w:rsid w:val="20CE7DF6"/>
    <w:rsid w:val="21171601"/>
    <w:rsid w:val="21231141"/>
    <w:rsid w:val="2142159C"/>
    <w:rsid w:val="21DE514B"/>
    <w:rsid w:val="224350C4"/>
    <w:rsid w:val="2280452C"/>
    <w:rsid w:val="22E36EB9"/>
    <w:rsid w:val="233A22BE"/>
    <w:rsid w:val="23F0560A"/>
    <w:rsid w:val="24681644"/>
    <w:rsid w:val="24871281"/>
    <w:rsid w:val="249D0363"/>
    <w:rsid w:val="250C072B"/>
    <w:rsid w:val="26070BA7"/>
    <w:rsid w:val="26311E13"/>
    <w:rsid w:val="26941CA9"/>
    <w:rsid w:val="26A809E8"/>
    <w:rsid w:val="272F57A5"/>
    <w:rsid w:val="273A72C8"/>
    <w:rsid w:val="2763144F"/>
    <w:rsid w:val="27956440"/>
    <w:rsid w:val="288D3427"/>
    <w:rsid w:val="28AA3FD9"/>
    <w:rsid w:val="29B124F5"/>
    <w:rsid w:val="2A722DA5"/>
    <w:rsid w:val="2C280290"/>
    <w:rsid w:val="2C3761A3"/>
    <w:rsid w:val="2C6B0BD4"/>
    <w:rsid w:val="2CB12174"/>
    <w:rsid w:val="2CDE0BEC"/>
    <w:rsid w:val="2D872841"/>
    <w:rsid w:val="2E8319DB"/>
    <w:rsid w:val="2EC26E74"/>
    <w:rsid w:val="2FD55C7F"/>
    <w:rsid w:val="2FD664E6"/>
    <w:rsid w:val="2FFB5502"/>
    <w:rsid w:val="30251E77"/>
    <w:rsid w:val="30512700"/>
    <w:rsid w:val="30822C7F"/>
    <w:rsid w:val="31517A10"/>
    <w:rsid w:val="315364CC"/>
    <w:rsid w:val="31635989"/>
    <w:rsid w:val="316A07AA"/>
    <w:rsid w:val="31AF08B2"/>
    <w:rsid w:val="31B219AB"/>
    <w:rsid w:val="31C37EBA"/>
    <w:rsid w:val="31D23686"/>
    <w:rsid w:val="32565CB7"/>
    <w:rsid w:val="328A611B"/>
    <w:rsid w:val="32E24B44"/>
    <w:rsid w:val="331E4EA2"/>
    <w:rsid w:val="33645894"/>
    <w:rsid w:val="336A7D5D"/>
    <w:rsid w:val="337F2880"/>
    <w:rsid w:val="33963D07"/>
    <w:rsid w:val="33F866FB"/>
    <w:rsid w:val="343A08AC"/>
    <w:rsid w:val="34756934"/>
    <w:rsid w:val="349F4EE3"/>
    <w:rsid w:val="34CF7BBF"/>
    <w:rsid w:val="34EB5D83"/>
    <w:rsid w:val="351B1ABB"/>
    <w:rsid w:val="3592207D"/>
    <w:rsid w:val="360C066A"/>
    <w:rsid w:val="36D81EC7"/>
    <w:rsid w:val="376C1009"/>
    <w:rsid w:val="37774C24"/>
    <w:rsid w:val="37947556"/>
    <w:rsid w:val="381203FA"/>
    <w:rsid w:val="38C56769"/>
    <w:rsid w:val="38E030AA"/>
    <w:rsid w:val="395F2AD4"/>
    <w:rsid w:val="39662ED0"/>
    <w:rsid w:val="397302AD"/>
    <w:rsid w:val="39F77B81"/>
    <w:rsid w:val="39F8735B"/>
    <w:rsid w:val="3A212AC8"/>
    <w:rsid w:val="3A9A2493"/>
    <w:rsid w:val="3BB101FB"/>
    <w:rsid w:val="3BFA0A04"/>
    <w:rsid w:val="3C111D1A"/>
    <w:rsid w:val="3C1F1FDA"/>
    <w:rsid w:val="3C592C08"/>
    <w:rsid w:val="3C5E53AF"/>
    <w:rsid w:val="3C770413"/>
    <w:rsid w:val="3CCF384D"/>
    <w:rsid w:val="3D0A5D91"/>
    <w:rsid w:val="3D632C52"/>
    <w:rsid w:val="3DC54FC5"/>
    <w:rsid w:val="3DE63017"/>
    <w:rsid w:val="3DEA3F70"/>
    <w:rsid w:val="3E515A84"/>
    <w:rsid w:val="3E93351A"/>
    <w:rsid w:val="3EC6659C"/>
    <w:rsid w:val="3F8D0009"/>
    <w:rsid w:val="3F987B33"/>
    <w:rsid w:val="3FC7479D"/>
    <w:rsid w:val="401450FB"/>
    <w:rsid w:val="40BA7F61"/>
    <w:rsid w:val="40E74BD3"/>
    <w:rsid w:val="410A6650"/>
    <w:rsid w:val="414305B1"/>
    <w:rsid w:val="41B22CD7"/>
    <w:rsid w:val="41D65F2C"/>
    <w:rsid w:val="421F2ED5"/>
    <w:rsid w:val="42403415"/>
    <w:rsid w:val="428C308E"/>
    <w:rsid w:val="42A17DA3"/>
    <w:rsid w:val="42E66896"/>
    <w:rsid w:val="431A7B56"/>
    <w:rsid w:val="43724463"/>
    <w:rsid w:val="437C7F15"/>
    <w:rsid w:val="44D07D4A"/>
    <w:rsid w:val="44D12370"/>
    <w:rsid w:val="44EF042F"/>
    <w:rsid w:val="456560D6"/>
    <w:rsid w:val="466C3E47"/>
    <w:rsid w:val="4674757D"/>
    <w:rsid w:val="46A96DC1"/>
    <w:rsid w:val="46AD4F74"/>
    <w:rsid w:val="46C25218"/>
    <w:rsid w:val="47247F19"/>
    <w:rsid w:val="47FC48BD"/>
    <w:rsid w:val="48BB258E"/>
    <w:rsid w:val="498902F7"/>
    <w:rsid w:val="49996FEB"/>
    <w:rsid w:val="49B33589"/>
    <w:rsid w:val="4A0D3F73"/>
    <w:rsid w:val="4A55117D"/>
    <w:rsid w:val="4A59211B"/>
    <w:rsid w:val="4A6D7CC7"/>
    <w:rsid w:val="4AD42842"/>
    <w:rsid w:val="4B1D55FF"/>
    <w:rsid w:val="4B3B5A5E"/>
    <w:rsid w:val="4C7E4287"/>
    <w:rsid w:val="4CB17533"/>
    <w:rsid w:val="4CEE6E31"/>
    <w:rsid w:val="4D1E6D90"/>
    <w:rsid w:val="4D217E9A"/>
    <w:rsid w:val="4D273FB5"/>
    <w:rsid w:val="4D4C3D93"/>
    <w:rsid w:val="4E2C471C"/>
    <w:rsid w:val="4EAD2164"/>
    <w:rsid w:val="4F167A00"/>
    <w:rsid w:val="4F344645"/>
    <w:rsid w:val="4F3C34F0"/>
    <w:rsid w:val="4FE561E5"/>
    <w:rsid w:val="529B01D8"/>
    <w:rsid w:val="53067D0A"/>
    <w:rsid w:val="53485CB8"/>
    <w:rsid w:val="539C2E1D"/>
    <w:rsid w:val="53BD2CB8"/>
    <w:rsid w:val="53CA13FA"/>
    <w:rsid w:val="53E92B19"/>
    <w:rsid w:val="547D2708"/>
    <w:rsid w:val="54D4096A"/>
    <w:rsid w:val="55F0713C"/>
    <w:rsid w:val="566F48F6"/>
    <w:rsid w:val="56BA5342"/>
    <w:rsid w:val="574852DC"/>
    <w:rsid w:val="577E6A9D"/>
    <w:rsid w:val="57B722F6"/>
    <w:rsid w:val="59B201E4"/>
    <w:rsid w:val="5A6D615D"/>
    <w:rsid w:val="5A7E5CA6"/>
    <w:rsid w:val="5AF90B79"/>
    <w:rsid w:val="5B7C1167"/>
    <w:rsid w:val="5BAA39E9"/>
    <w:rsid w:val="5BC874E6"/>
    <w:rsid w:val="5C457AF1"/>
    <w:rsid w:val="5CC52986"/>
    <w:rsid w:val="5CC73A02"/>
    <w:rsid w:val="5D380EAD"/>
    <w:rsid w:val="5D9E14BE"/>
    <w:rsid w:val="5E513B32"/>
    <w:rsid w:val="5E940365"/>
    <w:rsid w:val="5E9E11FA"/>
    <w:rsid w:val="5F0F787C"/>
    <w:rsid w:val="5FD55C00"/>
    <w:rsid w:val="60152706"/>
    <w:rsid w:val="60965202"/>
    <w:rsid w:val="60A961D2"/>
    <w:rsid w:val="60B85387"/>
    <w:rsid w:val="61070A23"/>
    <w:rsid w:val="622901C9"/>
    <w:rsid w:val="625E13B5"/>
    <w:rsid w:val="62884F96"/>
    <w:rsid w:val="62BC403C"/>
    <w:rsid w:val="62ED3673"/>
    <w:rsid w:val="62FE62C8"/>
    <w:rsid w:val="63117821"/>
    <w:rsid w:val="633E40B5"/>
    <w:rsid w:val="63612CE6"/>
    <w:rsid w:val="636D586B"/>
    <w:rsid w:val="63715F70"/>
    <w:rsid w:val="63FA44C1"/>
    <w:rsid w:val="641D7E8C"/>
    <w:rsid w:val="64657690"/>
    <w:rsid w:val="65153948"/>
    <w:rsid w:val="656C37C7"/>
    <w:rsid w:val="65AC068A"/>
    <w:rsid w:val="674A631B"/>
    <w:rsid w:val="676C7065"/>
    <w:rsid w:val="677F0FEF"/>
    <w:rsid w:val="679944F3"/>
    <w:rsid w:val="6869597A"/>
    <w:rsid w:val="68C1444C"/>
    <w:rsid w:val="68FD2547"/>
    <w:rsid w:val="692B1B5D"/>
    <w:rsid w:val="694F46EC"/>
    <w:rsid w:val="69992FCC"/>
    <w:rsid w:val="6A9E723B"/>
    <w:rsid w:val="6ADB1E58"/>
    <w:rsid w:val="6AFA3EE6"/>
    <w:rsid w:val="6B2F1B41"/>
    <w:rsid w:val="6B633B01"/>
    <w:rsid w:val="6B972A46"/>
    <w:rsid w:val="6BB77516"/>
    <w:rsid w:val="6C4E249B"/>
    <w:rsid w:val="6C7E78A0"/>
    <w:rsid w:val="6CCB5899"/>
    <w:rsid w:val="6D5E3BB6"/>
    <w:rsid w:val="6D910D48"/>
    <w:rsid w:val="6DF76683"/>
    <w:rsid w:val="6E147863"/>
    <w:rsid w:val="6EE4255E"/>
    <w:rsid w:val="6F062372"/>
    <w:rsid w:val="6F062D8F"/>
    <w:rsid w:val="6F0C1C24"/>
    <w:rsid w:val="6F1E7DFE"/>
    <w:rsid w:val="6F2D2342"/>
    <w:rsid w:val="6F57185C"/>
    <w:rsid w:val="6F7A31CF"/>
    <w:rsid w:val="70986BDC"/>
    <w:rsid w:val="71074BBB"/>
    <w:rsid w:val="711F191B"/>
    <w:rsid w:val="71AB182F"/>
    <w:rsid w:val="71D4258F"/>
    <w:rsid w:val="72194338"/>
    <w:rsid w:val="72531323"/>
    <w:rsid w:val="72CB79D3"/>
    <w:rsid w:val="73122F56"/>
    <w:rsid w:val="731C0BFD"/>
    <w:rsid w:val="73B41980"/>
    <w:rsid w:val="75970A0E"/>
    <w:rsid w:val="760248C2"/>
    <w:rsid w:val="766F4706"/>
    <w:rsid w:val="767754BF"/>
    <w:rsid w:val="76F54718"/>
    <w:rsid w:val="76FD0D45"/>
    <w:rsid w:val="77013257"/>
    <w:rsid w:val="77303D1C"/>
    <w:rsid w:val="7880137A"/>
    <w:rsid w:val="789E5678"/>
    <w:rsid w:val="78BA3DBC"/>
    <w:rsid w:val="7902554B"/>
    <w:rsid w:val="7917471B"/>
    <w:rsid w:val="7A440BD5"/>
    <w:rsid w:val="7A792DD8"/>
    <w:rsid w:val="7AB336E0"/>
    <w:rsid w:val="7ADB606C"/>
    <w:rsid w:val="7B6E1869"/>
    <w:rsid w:val="7B9D3063"/>
    <w:rsid w:val="7BBB055C"/>
    <w:rsid w:val="7BEE1C0D"/>
    <w:rsid w:val="7BFD3860"/>
    <w:rsid w:val="7BFE6B9A"/>
    <w:rsid w:val="7C036DFE"/>
    <w:rsid w:val="7C156153"/>
    <w:rsid w:val="7C231909"/>
    <w:rsid w:val="7C372433"/>
    <w:rsid w:val="7C552127"/>
    <w:rsid w:val="7D257C85"/>
    <w:rsid w:val="7D584D6B"/>
    <w:rsid w:val="7D6D04F4"/>
    <w:rsid w:val="7D7710D5"/>
    <w:rsid w:val="7D9434F5"/>
    <w:rsid w:val="7DDE52C9"/>
    <w:rsid w:val="7E127E42"/>
    <w:rsid w:val="7E57257C"/>
    <w:rsid w:val="7EA8185C"/>
    <w:rsid w:val="7EC531D7"/>
    <w:rsid w:val="7ECD36F3"/>
    <w:rsid w:val="7EF42A2E"/>
    <w:rsid w:val="7EFD7DA2"/>
    <w:rsid w:val="7FD0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autoRedefine/>
    <w:qFormat/>
    <w:uiPriority w:val="20"/>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文本1"/>
    <w:basedOn w:val="1"/>
    <w:autoRedefine/>
    <w:qFormat/>
    <w:uiPriority w:val="0"/>
    <w:pPr>
      <w:spacing w:before="93"/>
    </w:pPr>
    <w:rPr>
      <w:rFonts w:ascii="仿宋_GB2312" w:hAnsi="仿宋_GB2312" w:eastAsia="仿宋_GB2312" w:cs="Times New Roman"/>
      <w:kern w:val="0"/>
      <w:sz w:val="30"/>
      <w:szCs w:val="20"/>
    </w:rPr>
  </w:style>
  <w:style w:type="character" w:customStyle="1" w:styleId="10">
    <w:name w:val="默认段落字体1"/>
    <w:qFormat/>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4799</Words>
  <Characters>5378</Characters>
  <Lines>35</Lines>
  <Paragraphs>10</Paragraphs>
  <TotalTime>32</TotalTime>
  <ScaleCrop>false</ScaleCrop>
  <LinksUpToDate>false</LinksUpToDate>
  <CharactersWithSpaces>5437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2020-02-15T06:20:00Z</dcterms:created>
  <dc:creator>薛永萍</dc:creator>
  <cp:lastModifiedBy>秋水入梦</cp:lastModifiedBy>
  <cp:lastPrinted>2025-02-24T03:12:00Z</cp:lastPrinted>
  <dcterms:modified xsi:type="dcterms:W3CDTF">2026-01-20T08:02:14Z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0_btnclosed</vt:lpwstr>
  </property>
  <property fmtid="{D5CDD505-2E9C-101B-9397-08002B2CF9AE}" pid="4" name="ICV">
    <vt:lpwstr>ACC4C6849C3B438A961437A08E84C748</vt:lpwstr>
  </property>
  <property fmtid="{D5CDD505-2E9C-101B-9397-08002B2CF9AE}" pid="5" name="KSOTemplateDocerSaveRecord">
    <vt:lpwstr>eyJoZGlkIjoiYjQ4OGRlZjIxYTQwNTVkOWE0MTE1MmIwNGY3ZjZlN2UiLCJ1c2VySWQiOiI2Mjc0NTIzNzkifQ==</vt:lpwstr>
  </property>
</Properties>
</file>